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32" w:name="_GoBack"/>
      <w:bookmarkEnd w:id="32"/>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1565910" cy="151193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ind w:left="1806" w:hanging="1806" w:hangingChars="500"/>
        <w:rPr>
          <w:rFonts w:hint="default" w:ascii="Times New Roman" w:hAnsi="Times New Roman" w:cs="Times New Roman" w:eastAsiaTheme="minorEastAsia"/>
          <w:b/>
          <w:spacing w:val="20"/>
          <w:kern w:val="0"/>
          <w:sz w:val="32"/>
          <w:szCs w:val="32"/>
          <w:u w:val="single"/>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合肥文旅博览集团有限公司2024-2025年度办公耗材采购</w:t>
      </w:r>
    </w:p>
    <w:p>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eastAsiaTheme="minorEastAsia"/>
          <w:b/>
          <w:spacing w:val="20"/>
          <w:kern w:val="0"/>
          <w:sz w:val="32"/>
          <w:szCs w:val="32"/>
          <w:u w:val="single"/>
        </w:rPr>
        <w:t>2024WLBLZB00030号</w:t>
      </w:r>
    </w:p>
    <w:p>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u w:val="single"/>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eastAsiaTheme="minorEastAsia"/>
          <w:b/>
          <w:spacing w:val="20"/>
          <w:kern w:val="0"/>
          <w:sz w:val="32"/>
          <w:szCs w:val="32"/>
          <w:u w:val="single"/>
          <w:lang w:val="en-US" w:eastAsia="zh-CN"/>
        </w:rPr>
        <w:t>合肥文旅博览集团有限公司</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headerReference r:id="rId3" w:type="default"/>
          <w:footerReference r:id="rId4"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Cs w:val="21"/>
        </w:rPr>
      </w:pPr>
      <w:r>
        <w:rPr>
          <w:rFonts w:hint="eastAsia" w:ascii="Times New Roman" w:hAnsi="Times New Roman" w:cs="Times New Roman"/>
          <w:szCs w:val="21"/>
          <w:u w:val="single"/>
          <w:lang w:val="en-US" w:eastAsia="zh-CN"/>
        </w:rPr>
        <w:t>合肥文旅博览集团有限公司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hint="eastAsia" w:ascii="Times New Roman" w:hAnsi="Times New Roman" w:cs="Times New Roman" w:eastAsiaTheme="minorEastAsia"/>
          <w:szCs w:val="21"/>
          <w:u w:val="single"/>
        </w:rPr>
        <w:t>合肥文旅博览集团有限公司2024-2025年度办公耗材采购</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2024WLBLZB00030号</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szCs w:val="21"/>
          <w:u w:val="single"/>
          <w:lang w:val="en-US" w:eastAsia="zh-CN"/>
        </w:rPr>
        <w:t>合肥文旅博览集团有限公司2024-2025年度办公耗材采购</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szCs w:val="21"/>
          <w:u w:val="single"/>
          <w:lang w:val="en-US" w:eastAsia="zh-CN"/>
        </w:rPr>
        <w:t>合肥蜀山区习友路与茂荫路交叉口投资大厦</w:t>
      </w:r>
      <w:r>
        <w:rPr>
          <w:rFonts w:ascii="Times New Roman" w:hAnsi="Times New Roman" w:cs="Times New Roman" w:eastAsiaTheme="minorEastAsia"/>
          <w:szCs w:val="21"/>
          <w:u w:val="single"/>
        </w:rPr>
        <w:t xml:space="preserve">     </w:t>
      </w:r>
    </w:p>
    <w:p>
      <w:pPr>
        <w:spacing w:line="360" w:lineRule="auto"/>
        <w:ind w:firstLine="420" w:firstLineChars="200"/>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rPr>
        <w:t>合肥文旅博览集团有限公司</w:t>
      </w:r>
    </w:p>
    <w:p>
      <w:pPr>
        <w:spacing w:line="360" w:lineRule="auto"/>
        <w:ind w:firstLine="420" w:firstLineChars="200"/>
        <w:rPr>
          <w:rFonts w:hint="eastAsia"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eastAsiaTheme="minorEastAsia"/>
          <w:szCs w:val="21"/>
          <w:u w:val="single"/>
        </w:rPr>
        <w:t>合肥文旅博览集团有限公司2024-2025年度办公耗材采购</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15万元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w:t>
      </w:r>
      <w:r>
        <w:rPr>
          <w:rFonts w:hint="eastAsia" w:ascii="Times New Roman" w:hAnsi="Times New Roman" w:cs="Times New Roman"/>
          <w:szCs w:val="21"/>
          <w:u w:val="single"/>
          <w:lang w:val="en-US" w:eastAsia="zh-CN"/>
        </w:rPr>
        <w:t>类</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color w:val="auto"/>
          <w:szCs w:val="21"/>
        </w:rPr>
      </w:pPr>
      <w:r>
        <w:rPr>
          <w:rFonts w:ascii="Times New Roman" w:hAnsi="Times New Roman" w:cs="Times New Roman" w:eastAsiaTheme="majorEastAsia"/>
          <w:color w:val="auto"/>
          <w:szCs w:val="21"/>
        </w:rPr>
        <w:t>1.投标人具有独立承担民事责任的能力；</w:t>
      </w:r>
    </w:p>
    <w:p>
      <w:pPr>
        <w:spacing w:line="360" w:lineRule="auto"/>
        <w:ind w:firstLine="420" w:firstLineChars="200"/>
        <w:rPr>
          <w:rFonts w:hint="default" w:ascii="Times New Roman" w:hAnsi="Times New Roman" w:cs="Times New Roman" w:eastAsiaTheme="majorEastAsia"/>
          <w:color w:val="auto"/>
          <w:szCs w:val="21"/>
          <w:lang w:val="en-US" w:eastAsia="zh-CN"/>
        </w:rPr>
      </w:pPr>
      <w:r>
        <w:rPr>
          <w:rFonts w:ascii="Times New Roman" w:hAnsi="Times New Roman" w:cs="Times New Roman" w:eastAsiaTheme="majorEastAsia"/>
          <w:color w:val="auto"/>
          <w:szCs w:val="21"/>
        </w:rPr>
        <w:t>2.投标人</w:t>
      </w:r>
      <w:r>
        <w:rPr>
          <w:rFonts w:hint="eastAsia" w:ascii="Times New Roman" w:hAnsi="Times New Roman" w:cs="Times New Roman" w:eastAsiaTheme="majorEastAsia"/>
          <w:color w:val="auto"/>
          <w:szCs w:val="21"/>
          <w:lang w:val="en-US" w:eastAsia="zh-CN"/>
        </w:rPr>
        <w:t>业绩</w:t>
      </w:r>
      <w:r>
        <w:rPr>
          <w:rFonts w:ascii="Times New Roman" w:hAnsi="Times New Roman" w:cs="Times New Roman" w:eastAsiaTheme="majorEastAsia"/>
          <w:color w:val="auto"/>
          <w:szCs w:val="21"/>
        </w:rPr>
        <w:t>要求：</w:t>
      </w:r>
      <w:r>
        <w:rPr>
          <w:rFonts w:hint="eastAsia" w:ascii="Times New Roman" w:hAnsi="Times New Roman" w:cs="Times New Roman" w:eastAsiaTheme="majorEastAsia"/>
          <w:color w:val="auto"/>
          <w:szCs w:val="21"/>
          <w:lang w:val="en-US" w:eastAsia="zh-CN"/>
        </w:rPr>
        <w:t>自2021年1月1日以来（以合同签订日期为准），具有单个合同金额不少于10万的办公耗材类供货业绩。</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color w:val="000000"/>
        </w:rPr>
        <w:t>年</w:t>
      </w:r>
      <w:r>
        <w:rPr>
          <w:rFonts w:hint="eastAsia" w:ascii="Times New Roman" w:hAnsi="Times New Roman" w:eastAsia="宋体" w:cs="Times New Roman"/>
          <w:bCs/>
          <w:snapToGrid w:val="0"/>
          <w:kern w:val="0"/>
          <w:szCs w:val="21"/>
          <w:u w:val="single"/>
          <w:lang w:val="en-US" w:eastAsia="zh-CN"/>
        </w:rPr>
        <w:t>7</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16</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7</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auto"/>
          <w:szCs w:val="21"/>
        </w:rPr>
        <w:t>3.报名方法：投标人下载附件《投标报名信息表》并完整填写信息后在规定的报名日期内发送至邮箱：</w:t>
      </w:r>
      <w:r>
        <w:rPr>
          <w:rFonts w:ascii="Times New Roman" w:hAnsi="Times New Roman" w:cs="Times New Roman" w:eastAsiaTheme="majorEastAsia"/>
          <w:color w:val="auto"/>
          <w:szCs w:val="21"/>
        </w:rPr>
        <w:fldChar w:fldCharType="begin"/>
      </w:r>
      <w:r>
        <w:rPr>
          <w:rFonts w:ascii="Times New Roman" w:hAnsi="Times New Roman" w:cs="Times New Roman" w:eastAsiaTheme="majorEastAsia"/>
          <w:color w:val="auto"/>
          <w:szCs w:val="21"/>
        </w:rPr>
        <w:instrText xml:space="preserve"> HYPERLINK "mailto:******@qq.com" </w:instrText>
      </w:r>
      <w:r>
        <w:rPr>
          <w:rFonts w:ascii="Times New Roman" w:hAnsi="Times New Roman" w:cs="Times New Roman" w:eastAsiaTheme="majorEastAsia"/>
          <w:color w:val="auto"/>
          <w:szCs w:val="21"/>
        </w:rPr>
        <w:fldChar w:fldCharType="separate"/>
      </w:r>
      <w:r>
        <w:rPr>
          <w:rFonts w:hint="eastAsia" w:ascii="Times New Roman" w:hAnsi="Times New Roman" w:cs="Times New Roman" w:eastAsiaTheme="majorEastAsia"/>
          <w:color w:val="auto"/>
          <w:szCs w:val="21"/>
          <w:lang w:val="en-US" w:eastAsia="zh-CN"/>
        </w:rPr>
        <w:t>361923526</w:t>
      </w:r>
      <w:r>
        <w:rPr>
          <w:rFonts w:ascii="Times New Roman" w:hAnsi="Times New Roman" w:cs="Times New Roman" w:eastAsiaTheme="majorEastAsia"/>
          <w:color w:val="auto"/>
          <w:szCs w:val="21"/>
        </w:rPr>
        <w:t>@qq.com</w:t>
      </w:r>
      <w:r>
        <w:rPr>
          <w:rFonts w:ascii="Times New Roman" w:hAnsi="Times New Roman" w:cs="Times New Roman" w:eastAsiaTheme="majorEastAsia"/>
          <w:color w:val="auto"/>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7</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19</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9</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30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default" w:ascii="Times New Roman" w:hAnsi="Times New Roman" w:cs="Times New Roman"/>
          <w:bCs/>
          <w:snapToGrid w:val="0"/>
          <w:color w:val="auto"/>
          <w:kern w:val="0"/>
          <w:szCs w:val="21"/>
          <w:highlight w:val="none"/>
          <w:u w:val="single"/>
        </w:rPr>
        <w:t>合肥市蜀山区习友路与茂荫路交口投资大厦</w:t>
      </w:r>
      <w:r>
        <w:rPr>
          <w:rFonts w:hint="eastAsia" w:ascii="Times New Roman" w:hAnsi="Times New Roman" w:cs="Times New Roman"/>
          <w:bCs/>
          <w:snapToGrid w:val="0"/>
          <w:color w:val="auto"/>
          <w:kern w:val="0"/>
          <w:szCs w:val="21"/>
          <w:highlight w:val="none"/>
          <w:u w:val="single"/>
          <w:lang w:val="en-US" w:eastAsia="zh-CN"/>
        </w:rPr>
        <w:t>3楼多功能厅</w:t>
      </w:r>
      <w:r>
        <w:rPr>
          <w:rFonts w:hint="eastAsia" w:ascii="Times New Roman" w:hAnsi="Times New Roman" w:cs="Times New Roman"/>
          <w:szCs w:val="15"/>
          <w:u w:val="single"/>
          <w:lang w:val="en-US" w:eastAsia="zh-CN"/>
        </w:rPr>
        <w:t xml:space="preserve">    </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widowControl/>
        <w:spacing w:line="460" w:lineRule="exact"/>
        <w:ind w:firstLine="420" w:firstLineChars="200"/>
        <w:jc w:val="left"/>
        <w:rPr>
          <w:rFonts w:ascii="Times New Roman" w:hAnsi="Times New Roman"/>
          <w:bCs/>
          <w:snapToGrid w:val="0"/>
          <w:color w:val="auto"/>
          <w:kern w:val="0"/>
          <w:szCs w:val="21"/>
          <w:highlight w:val="none"/>
        </w:rPr>
      </w:pPr>
      <w:r>
        <w:rPr>
          <w:rFonts w:hint="eastAsia"/>
          <w:bCs/>
          <w:snapToGrid w:val="0"/>
          <w:color w:val="auto"/>
          <w:kern w:val="0"/>
          <w:szCs w:val="21"/>
          <w:highlight w:val="none"/>
          <w:lang w:val="en-US" w:eastAsia="zh-CN"/>
        </w:rPr>
        <w:t>6</w:t>
      </w:r>
      <w:r>
        <w:rPr>
          <w:rFonts w:ascii="Times New Roman" w:hAnsi="Times New Roman"/>
          <w:bCs/>
          <w:snapToGrid w:val="0"/>
          <w:color w:val="auto"/>
          <w:kern w:val="0"/>
          <w:szCs w:val="21"/>
          <w:highlight w:val="none"/>
        </w:rPr>
        <w:t>.1招标人</w:t>
      </w:r>
    </w:p>
    <w:p>
      <w:pPr>
        <w:spacing w:line="500" w:lineRule="exact"/>
        <w:ind w:firstLine="420" w:firstLineChars="200"/>
        <w:rPr>
          <w:rFonts w:hint="default" w:ascii="Times New Roman" w:hAnsi="Times New Roman" w:cs="Times New Roman"/>
          <w:bCs/>
          <w:snapToGrid w:val="0"/>
          <w:color w:val="auto"/>
          <w:szCs w:val="24"/>
          <w:highlight w:val="none"/>
        </w:rPr>
      </w:pPr>
      <w:r>
        <w:rPr>
          <w:rFonts w:hint="default" w:ascii="Times New Roman" w:hAnsi="Times New Roman" w:cs="Times New Roman"/>
          <w:bCs/>
          <w:snapToGrid w:val="0"/>
          <w:color w:val="auto"/>
          <w:kern w:val="0"/>
          <w:szCs w:val="21"/>
          <w:highlight w:val="none"/>
        </w:rPr>
        <w:t>招标人：</w:t>
      </w:r>
      <w:r>
        <w:rPr>
          <w:rFonts w:hint="default" w:ascii="Times New Roman" w:hAnsi="Times New Roman" w:cs="Times New Roman"/>
          <w:bCs/>
          <w:snapToGrid w:val="0"/>
          <w:color w:val="auto"/>
          <w:szCs w:val="24"/>
          <w:highlight w:val="none"/>
          <w:u w:val="single"/>
        </w:rPr>
        <w:t xml:space="preserve"> </w:t>
      </w:r>
      <w:r>
        <w:rPr>
          <w:rFonts w:hint="eastAsia" w:cs="Times New Roman"/>
          <w:bCs/>
          <w:snapToGrid w:val="0"/>
          <w:color w:val="auto"/>
          <w:szCs w:val="24"/>
          <w:highlight w:val="none"/>
          <w:u w:val="single"/>
          <w:lang w:val="en-US" w:eastAsia="zh-CN"/>
        </w:rPr>
        <w:t xml:space="preserve">    </w:t>
      </w:r>
      <w:r>
        <w:rPr>
          <w:rFonts w:hint="default" w:ascii="Times New Roman" w:hAnsi="Times New Roman" w:eastAsia="宋体" w:cs="Times New Roman"/>
          <w:bCs/>
          <w:snapToGrid w:val="0"/>
          <w:color w:val="auto"/>
          <w:kern w:val="0"/>
          <w:sz w:val="21"/>
          <w:szCs w:val="21"/>
          <w:highlight w:val="none"/>
          <w:u w:val="single"/>
          <w:lang w:val="en-US" w:eastAsia="zh-CN"/>
        </w:rPr>
        <w:t>合肥文旅博览集团有限公司</w:t>
      </w:r>
      <w:r>
        <w:rPr>
          <w:rFonts w:hint="eastAsia" w:ascii="宋体" w:hAnsi="宋体"/>
          <w:color w:val="auto"/>
          <w:sz w:val="24"/>
          <w:szCs w:val="24"/>
          <w:highlight w:val="none"/>
          <w:u w:val="single"/>
          <w:lang w:val="en-US" w:eastAsia="zh-CN"/>
        </w:rPr>
        <w:t xml:space="preserve">    </w:t>
      </w:r>
      <w:r>
        <w:rPr>
          <w:rFonts w:hint="default" w:ascii="Times New Roman" w:hAnsi="Times New Roman" w:cs="Times New Roman"/>
          <w:bCs/>
          <w:snapToGrid w:val="0"/>
          <w:color w:val="auto"/>
          <w:kern w:val="0"/>
          <w:szCs w:val="21"/>
          <w:highlight w:val="none"/>
        </w:rPr>
        <w:t xml:space="preserve">        </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地  址：</w:t>
      </w:r>
      <w:r>
        <w:rPr>
          <w:rFonts w:hint="default" w:ascii="Times New Roman" w:hAnsi="Times New Roman" w:cs="Times New Roman"/>
          <w:bCs/>
          <w:snapToGrid w:val="0"/>
          <w:color w:val="auto"/>
          <w:szCs w:val="24"/>
          <w:highlight w:val="none"/>
          <w:u w:val="single"/>
        </w:rPr>
        <w:t xml:space="preserve"> </w:t>
      </w:r>
      <w:r>
        <w:rPr>
          <w:rFonts w:hint="default" w:ascii="Times New Roman" w:hAnsi="Times New Roman" w:cs="Times New Roman"/>
          <w:bCs/>
          <w:snapToGrid w:val="0"/>
          <w:color w:val="auto"/>
          <w:kern w:val="0"/>
          <w:szCs w:val="21"/>
          <w:highlight w:val="none"/>
          <w:u w:val="single"/>
        </w:rPr>
        <w:t>合肥市蜀山区习友路与茂荫路交口投资大厦</w:t>
      </w:r>
      <w:r>
        <w:rPr>
          <w:rFonts w:hint="default" w:ascii="Times New Roman" w:hAnsi="Times New Roman" w:cs="Times New Roman"/>
          <w:bCs/>
          <w:snapToGrid w:val="0"/>
          <w:color w:val="auto"/>
          <w:szCs w:val="24"/>
          <w:highlight w:val="none"/>
          <w:u w:val="single"/>
        </w:rPr>
        <w:t xml:space="preserve"> </w:t>
      </w:r>
      <w:r>
        <w:rPr>
          <w:rFonts w:hint="default" w:ascii="Times New Roman" w:hAnsi="Times New Roman" w:cs="Times New Roman"/>
          <w:bCs/>
          <w:snapToGrid w:val="0"/>
          <w:color w:val="auto"/>
          <w:kern w:val="0"/>
          <w:szCs w:val="21"/>
          <w:highlight w:val="none"/>
        </w:rPr>
        <w:t xml:space="preserve">    </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联系人：</w:t>
      </w:r>
      <w:r>
        <w:rPr>
          <w:rFonts w:hint="default" w:ascii="Times New Roman" w:hAnsi="Times New Roman" w:cs="Times New Roman"/>
          <w:bCs/>
          <w:snapToGrid w:val="0"/>
          <w:color w:val="auto"/>
          <w:szCs w:val="24"/>
          <w:highlight w:val="none"/>
          <w:u w:val="single"/>
        </w:rPr>
        <w:t xml:space="preserve"> </w:t>
      </w:r>
      <w:r>
        <w:rPr>
          <w:rFonts w:hint="eastAsia" w:ascii="Times New Roman" w:hAnsi="Times New Roman" w:cs="Times New Roman"/>
          <w:bCs/>
          <w:snapToGrid w:val="0"/>
          <w:color w:val="auto"/>
          <w:szCs w:val="24"/>
          <w:highlight w:val="none"/>
          <w:u w:val="single"/>
          <w:lang w:val="en-US" w:eastAsia="zh-CN"/>
        </w:rPr>
        <w:t>汪工</w:t>
      </w:r>
      <w:r>
        <w:rPr>
          <w:rFonts w:hint="default" w:ascii="Times New Roman" w:hAnsi="Times New Roman" w:cs="Times New Roman"/>
          <w:bCs/>
          <w:snapToGrid w:val="0"/>
          <w:color w:val="auto"/>
          <w:szCs w:val="24"/>
          <w:highlight w:val="none"/>
          <w:u w:val="single"/>
        </w:rPr>
        <w:t xml:space="preserve">                </w:t>
      </w:r>
      <w:r>
        <w:rPr>
          <w:rFonts w:hint="eastAsia" w:ascii="Times New Roman" w:hAnsi="Times New Roman" w:cs="Times New Roman"/>
          <w:bCs/>
          <w:snapToGrid w:val="0"/>
          <w:color w:val="auto"/>
          <w:szCs w:val="24"/>
          <w:highlight w:val="none"/>
          <w:u w:val="single"/>
          <w:lang w:val="en-US" w:eastAsia="zh-CN"/>
        </w:rPr>
        <w:t xml:space="preserve">      </w:t>
      </w:r>
      <w:r>
        <w:rPr>
          <w:rFonts w:hint="default" w:ascii="Times New Roman" w:hAnsi="Times New Roman" w:cs="Times New Roman"/>
          <w:bCs/>
          <w:snapToGrid w:val="0"/>
          <w:color w:val="auto"/>
          <w:szCs w:val="24"/>
          <w:highlight w:val="none"/>
          <w:u w:val="single"/>
        </w:rPr>
        <w:t xml:space="preserve">  </w:t>
      </w:r>
      <w:r>
        <w:rPr>
          <w:rFonts w:hint="eastAsia" w:ascii="Times New Roman" w:hAnsi="Times New Roman" w:cs="Times New Roman"/>
          <w:bCs/>
          <w:snapToGrid w:val="0"/>
          <w:color w:val="auto"/>
          <w:szCs w:val="24"/>
          <w:highlight w:val="none"/>
          <w:u w:val="single"/>
          <w:lang w:val="en-US" w:eastAsia="zh-CN"/>
        </w:rPr>
        <w:t xml:space="preserve"> </w:t>
      </w:r>
      <w:r>
        <w:rPr>
          <w:rFonts w:hint="default" w:ascii="Times New Roman" w:hAnsi="Times New Roman" w:cs="Times New Roman"/>
          <w:bCs/>
          <w:snapToGrid w:val="0"/>
          <w:color w:val="auto"/>
          <w:szCs w:val="24"/>
          <w:highlight w:val="none"/>
          <w:u w:val="single"/>
        </w:rPr>
        <w:t xml:space="preserve">       </w:t>
      </w:r>
      <w:r>
        <w:rPr>
          <w:rFonts w:hint="default" w:ascii="Times New Roman" w:hAnsi="Times New Roman" w:cs="Times New Roman"/>
          <w:bCs/>
          <w:snapToGrid w:val="0"/>
          <w:color w:val="auto"/>
          <w:kern w:val="0"/>
          <w:szCs w:val="21"/>
          <w:highlight w:val="none"/>
        </w:rPr>
        <w:t xml:space="preserve">         </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电  话：</w:t>
      </w:r>
      <w:r>
        <w:rPr>
          <w:rFonts w:hint="default" w:ascii="Times New Roman" w:hAnsi="Times New Roman" w:cs="Times New Roman"/>
          <w:bCs/>
          <w:snapToGrid w:val="0"/>
          <w:color w:val="auto"/>
          <w:szCs w:val="24"/>
          <w:highlight w:val="none"/>
          <w:u w:val="single"/>
        </w:rPr>
        <w:t xml:space="preserve"> </w:t>
      </w:r>
      <w:r>
        <w:rPr>
          <w:rFonts w:hint="default" w:ascii="Times New Roman" w:hAnsi="Times New Roman" w:cs="Times New Roman"/>
          <w:bCs/>
          <w:snapToGrid w:val="0"/>
          <w:color w:val="auto"/>
          <w:kern w:val="0"/>
          <w:szCs w:val="21"/>
          <w:highlight w:val="none"/>
          <w:u w:val="single"/>
        </w:rPr>
        <w:t>0551-63530687</w:t>
      </w:r>
      <w:r>
        <w:rPr>
          <w:rFonts w:hint="default" w:ascii="Times New Roman" w:hAnsi="Times New Roman" w:cs="Times New Roman"/>
          <w:bCs/>
          <w:snapToGrid w:val="0"/>
          <w:color w:val="auto"/>
          <w:szCs w:val="24"/>
          <w:highlight w:val="none"/>
          <w:u w:val="single"/>
        </w:rPr>
        <w:t xml:space="preserve">    </w:t>
      </w:r>
      <w:r>
        <w:rPr>
          <w:rFonts w:hint="eastAsia" w:ascii="Times New Roman" w:hAnsi="Times New Roman" w:cs="Times New Roman"/>
          <w:bCs/>
          <w:snapToGrid w:val="0"/>
          <w:color w:val="auto"/>
          <w:szCs w:val="24"/>
          <w:highlight w:val="none"/>
          <w:u w:val="single"/>
          <w:lang w:val="en-US" w:eastAsia="zh-CN"/>
        </w:rPr>
        <w:t xml:space="preserve">          </w:t>
      </w:r>
      <w:r>
        <w:rPr>
          <w:rFonts w:hint="default" w:ascii="Times New Roman" w:hAnsi="Times New Roman" w:cs="Times New Roman"/>
          <w:bCs/>
          <w:snapToGrid w:val="0"/>
          <w:color w:val="auto"/>
          <w:szCs w:val="24"/>
          <w:highlight w:val="none"/>
          <w:u w:val="single"/>
        </w:rPr>
        <w:t xml:space="preserve">        </w:t>
      </w:r>
      <w:r>
        <w:rPr>
          <w:rFonts w:hint="default" w:ascii="Times New Roman" w:hAnsi="Times New Roman" w:cs="Times New Roman"/>
          <w:bCs/>
          <w:snapToGrid w:val="0"/>
          <w:color w:val="auto"/>
          <w:kern w:val="0"/>
          <w:szCs w:val="21"/>
          <w:highlight w:val="none"/>
        </w:rPr>
        <w:t xml:space="preserve">        </w:t>
      </w:r>
    </w:p>
    <w:p>
      <w:pPr>
        <w:widowControl/>
        <w:spacing w:line="460" w:lineRule="exact"/>
        <w:ind w:firstLine="420" w:firstLineChars="200"/>
        <w:jc w:val="left"/>
        <w:rPr>
          <w:rFonts w:ascii="Times New Roman" w:hAnsi="Times New Roman"/>
          <w:bCs/>
          <w:snapToGrid w:val="0"/>
          <w:color w:val="auto"/>
          <w:kern w:val="0"/>
          <w:szCs w:val="21"/>
          <w:highlight w:val="none"/>
        </w:rPr>
      </w:pPr>
      <w:r>
        <w:rPr>
          <w:rFonts w:hint="eastAsia"/>
          <w:bCs/>
          <w:snapToGrid w:val="0"/>
          <w:color w:val="auto"/>
          <w:kern w:val="0"/>
          <w:szCs w:val="21"/>
          <w:highlight w:val="none"/>
          <w:lang w:val="en-US" w:eastAsia="zh-CN"/>
        </w:rPr>
        <w:t>6</w:t>
      </w:r>
      <w:r>
        <w:rPr>
          <w:rFonts w:ascii="Times New Roman" w:hAnsi="Times New Roman"/>
          <w:bCs/>
          <w:snapToGrid w:val="0"/>
          <w:color w:val="auto"/>
          <w:kern w:val="0"/>
          <w:szCs w:val="21"/>
          <w:highlight w:val="none"/>
        </w:rPr>
        <w:t>.</w:t>
      </w:r>
      <w:r>
        <w:rPr>
          <w:rFonts w:hint="eastAsia" w:ascii="Times New Roman" w:hAnsi="Times New Roman"/>
          <w:bCs/>
          <w:snapToGrid w:val="0"/>
          <w:color w:val="auto"/>
          <w:kern w:val="0"/>
          <w:szCs w:val="21"/>
          <w:highlight w:val="none"/>
        </w:rPr>
        <w:t>2</w:t>
      </w:r>
      <w:r>
        <w:rPr>
          <w:rFonts w:ascii="Times New Roman" w:hAnsi="Times New Roman"/>
          <w:bCs/>
          <w:snapToGrid w:val="0"/>
          <w:color w:val="auto"/>
          <w:kern w:val="0"/>
          <w:szCs w:val="21"/>
          <w:highlight w:val="none"/>
        </w:rPr>
        <w:t>监督管理部门</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监督管理部门：合肥文旅博览集团有限公司纪委纪检监察室</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地  址：合肥市蜀山区习友路与茂荫路交口投资大厦二楼纪委纪检监察室</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电  话：0551-63539209</w:t>
      </w:r>
    </w:p>
    <w:p>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widowControl/>
        <w:spacing w:line="360" w:lineRule="auto"/>
        <w:ind w:firstLine="482" w:firstLineChars="200"/>
        <w:jc w:val="left"/>
        <w:rPr>
          <w:b/>
          <w:color w:val="000000"/>
          <w:kern w:val="0"/>
          <w:sz w:val="24"/>
          <w:szCs w:val="24"/>
        </w:rPr>
      </w:pPr>
      <w:r>
        <w:rPr>
          <w:rFonts w:hint="eastAsia"/>
          <w:b/>
          <w:color w:val="000000"/>
          <w:kern w:val="0"/>
          <w:sz w:val="24"/>
          <w:szCs w:val="24"/>
          <w:lang w:val="en-US" w:eastAsia="zh-CN"/>
        </w:rPr>
        <w:t>八</w:t>
      </w:r>
      <w:r>
        <w:rPr>
          <w:b/>
          <w:color w:val="000000"/>
          <w:kern w:val="0"/>
          <w:sz w:val="24"/>
          <w:szCs w:val="24"/>
        </w:rPr>
        <w:t>、</w:t>
      </w:r>
      <w:r>
        <w:rPr>
          <w:rFonts w:hint="eastAsia"/>
          <w:b/>
          <w:color w:val="000000"/>
          <w:kern w:val="0"/>
          <w:sz w:val="24"/>
          <w:szCs w:val="24"/>
        </w:rPr>
        <w:t>采购</w:t>
      </w:r>
      <w:r>
        <w:rPr>
          <w:b/>
          <w:color w:val="000000"/>
          <w:kern w:val="0"/>
          <w:sz w:val="24"/>
          <w:szCs w:val="24"/>
        </w:rPr>
        <w:t>文件的异议、投诉</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1.投标人或者其他利害关系人对</w:t>
      </w:r>
      <w:r>
        <w:rPr>
          <w:rFonts w:hint="eastAsia" w:ascii="Times New Roman" w:hAnsi="Times New Roman" w:cs="Times New Roman"/>
          <w:bCs/>
          <w:snapToGrid w:val="0"/>
          <w:color w:val="auto"/>
          <w:kern w:val="0"/>
          <w:szCs w:val="21"/>
          <w:highlight w:val="none"/>
        </w:rPr>
        <w:t>采购文件</w:t>
      </w:r>
      <w:r>
        <w:rPr>
          <w:rFonts w:hint="default" w:ascii="Times New Roman" w:hAnsi="Times New Roman" w:cs="Times New Roman"/>
          <w:bCs/>
          <w:snapToGrid w:val="0"/>
          <w:color w:val="auto"/>
          <w:kern w:val="0"/>
          <w:szCs w:val="21"/>
          <w:highlight w:val="none"/>
        </w:rPr>
        <w:t>有异议的，应当在规定时间通过电子邮件形式提出或以书面形式向招标人提出。</w:t>
      </w:r>
    </w:p>
    <w:p>
      <w:pPr>
        <w:widowControl/>
        <w:spacing w:line="460" w:lineRule="exact"/>
        <w:ind w:firstLine="420" w:firstLineChars="200"/>
        <w:jc w:val="left"/>
        <w:rPr>
          <w:rFonts w:hint="default" w:ascii="Times New Roman" w:hAnsi="Times New Roman" w:cs="Times New Roman"/>
          <w:bCs/>
          <w:snapToGrid w:val="0"/>
          <w:color w:val="auto"/>
          <w:kern w:val="0"/>
          <w:szCs w:val="21"/>
          <w:highlight w:val="none"/>
        </w:rPr>
      </w:pPr>
      <w:r>
        <w:rPr>
          <w:rFonts w:hint="default" w:ascii="Times New Roman" w:hAnsi="Times New Roman" w:cs="Times New Roman"/>
          <w:bCs/>
          <w:snapToGrid w:val="0"/>
          <w:color w:val="auto"/>
          <w:kern w:val="0"/>
          <w:szCs w:val="21"/>
          <w:highlight w:val="none"/>
        </w:rPr>
        <w:t>2.招标人未在规定时间内予以答复的，可以向招标人纪检监察部门反映。联系电话：</w:t>
      </w:r>
      <w:r>
        <w:rPr>
          <w:rFonts w:hint="eastAsia" w:ascii="Times New Roman" w:hAnsi="Times New Roman" w:cs="Times New Roman"/>
          <w:bCs/>
          <w:snapToGrid w:val="0"/>
          <w:color w:val="auto"/>
          <w:kern w:val="0"/>
          <w:szCs w:val="21"/>
          <w:highlight w:val="none"/>
        </w:rPr>
        <w:t xml:space="preserve">     0551-63539209  </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便利化服务</w:t>
            </w:r>
          </w:p>
        </w:tc>
        <w:tc>
          <w:tcPr>
            <w:tcW w:w="3350" w:type="pct"/>
            <w:vAlign w:val="center"/>
          </w:tcPr>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本项目是否要求便利化服务能力：</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sym w:font="Wingdings 2" w:char="0052"/>
            </w:r>
            <w:r>
              <w:rPr>
                <w:rFonts w:ascii="Times New Roman" w:hAnsi="Times New Roman" w:eastAsia="宋体" w:cs="Times New Roman"/>
                <w:color w:val="auto"/>
                <w:szCs w:val="21"/>
                <w:highlight w:val="none"/>
              </w:rPr>
              <w:t>要求  □不要求</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便利化服务的能力是指具有下列条件之一：</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（1）在合肥行政区域范围（含四县一市）具有固定的办公场所及人员；</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（2）投标人在合肥行政区域范围（含四县一市）注册成立的；</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（3）承诺中标即在合肥行政区域范围（含四县一市）设立服务机构，或委托相关单位作为服务机构；</w:t>
            </w:r>
          </w:p>
          <w:p>
            <w:pPr>
              <w:spacing w:line="360" w:lineRule="auto"/>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ascii="Times New Roman" w:hAnsi="Times New Roman" w:cs="Times New Roman" w:eastAsiaTheme="minorEastAsia"/>
                <w:color w:val="auto"/>
                <w:szCs w:val="21"/>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 xml:space="preserve">无 </w:t>
            </w:r>
            <w:r>
              <w:rPr>
                <w:rFonts w:ascii="Times New Roman" w:hAnsi="Times New Roman" w:cs="Times New Roman" w:eastAsiaTheme="minorEastAsia"/>
                <w:color w:val="auto"/>
                <w:szCs w:val="21"/>
              </w:rPr>
              <w:t xml:space="preserve">  </w:t>
            </w:r>
            <w:r>
              <w:rPr>
                <w:rFonts w:ascii="Times New Roman" w:hAnsi="Times New Roman" w:cs="Times New Roman" w:eastAsiaTheme="minorEastAsia"/>
                <w:color w:val="auto"/>
                <w:szCs w:val="21"/>
              </w:rPr>
              <w:sym w:font="Wingdings 2" w:char="00A3"/>
            </w:r>
            <w:r>
              <w:rPr>
                <w:rFonts w:ascii="Times New Roman" w:hAnsi="Times New Roman" w:eastAsia="宋体" w:cs="Times New Roman"/>
                <w:bCs/>
                <w:color w:val="auto"/>
                <w:szCs w:val="21"/>
              </w:rPr>
              <w:t>采购清单</w:t>
            </w:r>
            <w:r>
              <w:rPr>
                <w:rFonts w:ascii="Times New Roman" w:hAnsi="Times New Roman" w:cs="Times New Roman" w:eastAsiaTheme="minorEastAsia"/>
                <w:color w:val="auto"/>
                <w:szCs w:val="21"/>
              </w:rPr>
              <w:t xml:space="preserve"> </w:t>
            </w:r>
          </w:p>
          <w:p>
            <w:pPr>
              <w:spacing w:line="360" w:lineRule="auto"/>
              <w:rPr>
                <w:rFonts w:ascii="Times New Roman" w:hAnsi="Times New Roman" w:cs="Times New Roman" w:eastAsiaTheme="minorEastAsia"/>
                <w:bCs/>
                <w:color w:val="auto"/>
                <w:szCs w:val="21"/>
              </w:rPr>
            </w:pPr>
            <w:r>
              <w:rPr>
                <w:rFonts w:ascii="Times New Roman" w:hAnsi="Times New Roman" w:cs="Times New Roman" w:eastAsiaTheme="minorEastAsia"/>
                <w:bCs/>
                <w:color w:val="auto"/>
                <w:szCs w:val="21"/>
              </w:rPr>
              <w:t>获取方式：</w:t>
            </w:r>
          </w:p>
          <w:p>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hint="eastAsia" w:ascii="Times New Roman" w:hAnsi="Times New Roman" w:eastAsia="宋体" w:cs="Times New Roman"/>
                <w:bCs/>
                <w:kern w:val="2"/>
                <w:sz w:val="21"/>
                <w:szCs w:val="21"/>
                <w:lang w:eastAsia="zh-CN"/>
              </w:rPr>
            </w:pPr>
            <w:r>
              <w:rPr>
                <w:rFonts w:ascii="Times New Roman" w:hAnsi="Times New Roman" w:eastAsia="宋体" w:cs="Times New Roman"/>
                <w:bCs/>
                <w:kern w:val="2"/>
                <w:sz w:val="21"/>
                <w:szCs w:val="21"/>
              </w:rPr>
              <w:t>1</w:t>
            </w:r>
            <w:r>
              <w:rPr>
                <w:rFonts w:hint="eastAsia" w:ascii="Times New Roman" w:hAnsi="Times New Roman" w:eastAsia="宋体" w:cs="Times New Roman"/>
                <w:bCs/>
                <w:kern w:val="2"/>
                <w:sz w:val="21"/>
                <w:szCs w:val="21"/>
                <w:lang w:val="en-US" w:eastAsia="zh-CN"/>
              </w:rPr>
              <w:t>3</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w:t>
      </w:r>
      <w:r>
        <w:rPr>
          <w:rFonts w:hint="eastAsia" w:ascii="Times New Roman" w:hAnsi="Times New Roman" w:cs="Times New Roman"/>
          <w:szCs w:val="21"/>
          <w:lang w:eastAsia="zh-CN"/>
        </w:rPr>
        <w:t>其他</w:t>
      </w:r>
      <w:r>
        <w:rPr>
          <w:rFonts w:ascii="Times New Roman" w:hAnsi="Times New Roman" w:cs="Times New Roman" w:eastAsiaTheme="minorEastAsia"/>
          <w:szCs w:val="21"/>
        </w:rPr>
        <w:t>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一、采购需求前附表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
                <w:kern w:val="2"/>
                <w:sz w:val="21"/>
                <w:szCs w:val="16"/>
              </w:rPr>
            </w:pPr>
            <w:r>
              <w:rPr>
                <w:rFonts w:ascii="Times New Roman" w:hAnsi="Times New Roman" w:cs="Times New Roman" w:eastAsiaTheme="minorEastAsia"/>
                <w:b/>
                <w:kern w:val="2"/>
                <w:sz w:val="21"/>
                <w:szCs w:val="16"/>
              </w:rPr>
              <w:t>序号</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条款名称</w:t>
            </w:r>
          </w:p>
        </w:tc>
        <w:tc>
          <w:tcPr>
            <w:tcW w:w="3216" w:type="pct"/>
            <w:vAlign w:val="center"/>
          </w:tcPr>
          <w:p>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1</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color w:val="auto"/>
                <w:sz w:val="21"/>
                <w:szCs w:val="22"/>
              </w:rPr>
            </w:pPr>
            <w:r>
              <w:rPr>
                <w:rFonts w:ascii="Times New Roman" w:hAnsi="Times New Roman" w:cs="Times New Roman" w:eastAsiaTheme="minorEastAsia"/>
                <w:b w:val="0"/>
                <w:color w:val="auto"/>
                <w:sz w:val="21"/>
                <w:szCs w:val="22"/>
              </w:rPr>
              <w:t>付款方式</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定期结算</w:t>
            </w:r>
            <w:r>
              <w:rPr>
                <w:rFonts w:hint="eastAsia" w:ascii="宋体" w:hAnsi="宋体" w:cs="宋体"/>
                <w:color w:val="auto"/>
                <w:szCs w:val="21"/>
              </w:rPr>
              <w:t>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lang w:val="en-US" w:eastAsia="zh-CN"/>
              </w:rPr>
              <w:t>采购合同生效后，中标人根据招标人实际需求，定期供货，产品到货并经招标人验收合格后，结算该批产品价款。</w:t>
            </w:r>
            <w:r>
              <w:rPr>
                <w:rFonts w:hint="eastAsia" w:ascii="宋体" w:hAnsi="宋体" w:cs="宋体"/>
                <w:color w:val="auto"/>
                <w:szCs w:val="21"/>
              </w:rPr>
              <w:t xml:space="preserve">  </w:t>
            </w:r>
          </w:p>
          <w:p>
            <w:pPr>
              <w:pStyle w:val="29"/>
              <w:keepNext w:val="0"/>
              <w:keepLines w:val="0"/>
              <w:pageBreakBefore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color w:val="auto"/>
                <w:sz w:val="21"/>
                <w:szCs w:val="22"/>
                <w:u w:val="single"/>
              </w:rPr>
            </w:pPr>
            <w:r>
              <w:rPr>
                <w:rFonts w:hint="eastAsia" w:ascii="Times New Roman" w:hAnsi="Times New Roman" w:cs="Times New Roman" w:eastAsiaTheme="minorEastAsia"/>
                <w:b w:val="0"/>
                <w:color w:val="auto"/>
                <w:sz w:val="21"/>
                <w:szCs w:val="22"/>
                <w:u w:val="single"/>
              </w:rPr>
              <w:t>在</w:t>
            </w:r>
            <w:r>
              <w:rPr>
                <w:rFonts w:hint="eastAsia" w:ascii="Times New Roman" w:hAnsi="Times New Roman" w:cs="Times New Roman"/>
                <w:b w:val="0"/>
                <w:color w:val="auto"/>
                <w:sz w:val="21"/>
                <w:szCs w:val="22"/>
                <w:u w:val="single"/>
                <w:lang w:eastAsia="zh-CN"/>
              </w:rPr>
              <w:t>招标人</w:t>
            </w:r>
            <w:r>
              <w:rPr>
                <w:rFonts w:hint="eastAsia" w:ascii="Times New Roman" w:hAnsi="Times New Roman" w:cs="Times New Roman" w:eastAsiaTheme="minorEastAsia"/>
                <w:b w:val="0"/>
                <w:color w:val="auto"/>
                <w:sz w:val="21"/>
                <w:szCs w:val="22"/>
                <w:u w:val="single"/>
              </w:rPr>
              <w:t>付款前，中标人需向</w:t>
            </w:r>
            <w:r>
              <w:rPr>
                <w:rFonts w:hint="eastAsia" w:ascii="Times New Roman" w:hAnsi="Times New Roman" w:cs="Times New Roman"/>
                <w:b w:val="0"/>
                <w:color w:val="auto"/>
                <w:sz w:val="21"/>
                <w:szCs w:val="22"/>
                <w:u w:val="single"/>
                <w:lang w:eastAsia="zh-CN"/>
              </w:rPr>
              <w:t>招标人</w:t>
            </w:r>
            <w:r>
              <w:rPr>
                <w:rFonts w:hint="eastAsia" w:ascii="Times New Roman" w:hAnsi="Times New Roman" w:cs="Times New Roman" w:eastAsiaTheme="minorEastAsia"/>
                <w:b w:val="0"/>
                <w:color w:val="auto"/>
                <w:sz w:val="21"/>
                <w:szCs w:val="22"/>
                <w:u w:val="single"/>
              </w:rPr>
              <w:t>交付等额的增值税专用发票，否则</w:t>
            </w:r>
            <w:r>
              <w:rPr>
                <w:rFonts w:hint="eastAsia" w:ascii="Times New Roman" w:hAnsi="Times New Roman" w:cs="Times New Roman"/>
                <w:b w:val="0"/>
                <w:color w:val="auto"/>
                <w:sz w:val="21"/>
                <w:szCs w:val="22"/>
                <w:u w:val="single"/>
                <w:lang w:eastAsia="zh-CN"/>
              </w:rPr>
              <w:t>招标人</w:t>
            </w:r>
            <w:r>
              <w:rPr>
                <w:rFonts w:hint="eastAsia" w:ascii="Times New Roman" w:hAnsi="Times New Roman" w:cs="Times New Roman" w:eastAsiaTheme="minorEastAsia"/>
                <w:b w:val="0"/>
                <w:color w:val="auto"/>
                <w:sz w:val="21"/>
                <w:szCs w:val="22"/>
                <w:u w:val="single"/>
              </w:rPr>
              <w:t>有权拒绝或者延迟付款，且不承担违约责任。</w:t>
            </w:r>
          </w:p>
          <w:p>
            <w:pPr>
              <w:pStyle w:val="29"/>
              <w:keepNext w:val="0"/>
              <w:keepLines w:val="0"/>
              <w:pageBreakBefore w:val="0"/>
              <w:widowControl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color w:val="auto"/>
                <w:sz w:val="21"/>
                <w:szCs w:val="22"/>
                <w:u w:val="single"/>
              </w:rPr>
            </w:pPr>
            <w:r>
              <w:rPr>
                <w:rFonts w:hint="eastAsia" w:ascii="Times New Roman" w:hAnsi="Times New Roman" w:cs="Times New Roman" w:eastAsiaTheme="minorEastAsia"/>
                <w:b w:val="0"/>
                <w:color w:val="auto"/>
                <w:sz w:val="21"/>
                <w:szCs w:val="22"/>
                <w:u w:val="single"/>
              </w:rPr>
              <w:t>投标人提交的投标文件中如有关于付款条件的表述与</w:t>
            </w:r>
            <w:r>
              <w:rPr>
                <w:rFonts w:hint="eastAsia" w:ascii="Times New Roman" w:hAnsi="Times New Roman" w:cs="Times New Roman" w:eastAsiaTheme="minorEastAsia"/>
                <w:b w:val="0"/>
                <w:color w:val="auto"/>
                <w:sz w:val="21"/>
                <w:szCs w:val="22"/>
                <w:u w:val="single"/>
                <w:lang w:val="en-US" w:eastAsia="zh-CN"/>
              </w:rPr>
              <w:t>询价</w:t>
            </w:r>
            <w:r>
              <w:rPr>
                <w:rFonts w:hint="eastAsia" w:ascii="Times New Roman" w:hAnsi="Times New Roman" w:cs="Times New Roman" w:eastAsiaTheme="minorEastAsia"/>
                <w:b w:val="0"/>
                <w:color w:val="auto"/>
                <w:sz w:val="21"/>
                <w:szCs w:val="22"/>
                <w:u w:val="single"/>
              </w:rPr>
              <w:t>文件规定不符，投标无效。</w:t>
            </w:r>
            <w:r>
              <w:rPr>
                <w:rFonts w:ascii="Times New Roman" w:hAnsi="Times New Roman" w:cs="Times New Roman" w:eastAsiaTheme="minorEastAsia"/>
                <w:b w:val="0"/>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2</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color w:val="auto"/>
                <w:sz w:val="21"/>
                <w:szCs w:val="22"/>
                <w:highlight w:val="none"/>
              </w:rPr>
            </w:pPr>
            <w:r>
              <w:rPr>
                <w:rFonts w:ascii="Times New Roman" w:hAnsi="Times New Roman" w:cs="Times New Roman" w:eastAsiaTheme="minorEastAsia"/>
                <w:b w:val="0"/>
                <w:color w:val="auto"/>
                <w:sz w:val="21"/>
                <w:szCs w:val="22"/>
                <w:highlight w:val="none"/>
              </w:rPr>
              <w:t>供货及安装地点</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color w:val="auto"/>
                <w:sz w:val="21"/>
                <w:szCs w:val="22"/>
                <w:highlight w:val="none"/>
              </w:rPr>
            </w:pPr>
            <w:r>
              <w:rPr>
                <w:rFonts w:ascii="Times New Roman" w:hAnsi="Times New Roman" w:cs="Times New Roman" w:eastAsiaTheme="minorEastAsia"/>
                <w:b w:val="0"/>
                <w:color w:val="auto"/>
                <w:sz w:val="21"/>
                <w:szCs w:val="22"/>
                <w:highlight w:val="none"/>
                <w:u w:val="single"/>
              </w:rPr>
              <w:t xml:space="preserve"> </w:t>
            </w:r>
            <w:r>
              <w:rPr>
                <w:rFonts w:hint="eastAsia" w:ascii="Times New Roman" w:hAnsi="Times New Roman" w:cs="Times New Roman"/>
                <w:b w:val="0"/>
                <w:color w:val="auto"/>
                <w:sz w:val="21"/>
                <w:szCs w:val="22"/>
                <w:highlight w:val="none"/>
                <w:u w:val="single"/>
                <w:lang w:val="en-US" w:eastAsia="zh-CN"/>
              </w:rPr>
              <w:t>集团公司</w:t>
            </w:r>
            <w:r>
              <w:rPr>
                <w:rFonts w:ascii="Times New Roman" w:hAnsi="Times New Roman" w:cs="Times New Roman" w:eastAsiaTheme="minorEastAsia"/>
                <w:b w:val="0"/>
                <w:color w:val="auto"/>
                <w:sz w:val="21"/>
                <w:szCs w:val="22"/>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3</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color w:val="auto"/>
                <w:sz w:val="21"/>
                <w:szCs w:val="22"/>
              </w:rPr>
            </w:pPr>
            <w:r>
              <w:rPr>
                <w:rFonts w:ascii="Times New Roman" w:hAnsi="Times New Roman" w:cs="Times New Roman" w:eastAsiaTheme="minorEastAsia"/>
                <w:b w:val="0"/>
                <w:color w:val="auto"/>
                <w:sz w:val="21"/>
                <w:szCs w:val="22"/>
              </w:rPr>
              <w:t>供货及安装期限</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color w:val="auto"/>
                <w:sz w:val="21"/>
                <w:szCs w:val="22"/>
              </w:rPr>
            </w:pPr>
            <w:r>
              <w:rPr>
                <w:rFonts w:ascii="Times New Roman" w:hAnsi="Times New Roman" w:cs="Times New Roman" w:eastAsiaTheme="minorEastAsia"/>
                <w:b w:val="0"/>
                <w:color w:val="auto"/>
                <w:sz w:val="21"/>
                <w:szCs w:val="22"/>
              </w:rPr>
              <w:t>合同生效后</w:t>
            </w:r>
            <w:r>
              <w:rPr>
                <w:rFonts w:hint="eastAsia" w:ascii="Times New Roman" w:hAnsi="Times New Roman" w:cs="Times New Roman"/>
                <w:b w:val="0"/>
                <w:color w:val="auto"/>
                <w:sz w:val="21"/>
                <w:szCs w:val="22"/>
                <w:lang w:eastAsia="zh-CN"/>
              </w:rPr>
              <w:t>，</w:t>
            </w:r>
            <w:r>
              <w:rPr>
                <w:rFonts w:hint="eastAsia" w:ascii="Times New Roman" w:hAnsi="Times New Roman" w:cs="Times New Roman"/>
                <w:b w:val="0"/>
                <w:color w:val="auto"/>
                <w:sz w:val="21"/>
                <w:szCs w:val="22"/>
                <w:u w:val="single"/>
                <w:lang w:val="en-US" w:eastAsia="zh-CN"/>
              </w:rPr>
              <w:t>原则上按季度供货，特殊情况，经双方协商确认后，可临时供货。</w:t>
            </w:r>
            <w:r>
              <w:rPr>
                <w:rFonts w:ascii="Times New Roman" w:hAnsi="Times New Roman" w:cs="Times New Roman" w:eastAsiaTheme="minorEastAsia"/>
                <w:b w:val="0"/>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4</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color w:val="auto"/>
                <w:sz w:val="21"/>
                <w:szCs w:val="22"/>
                <w:highlight w:val="none"/>
              </w:rPr>
            </w:pPr>
            <w:r>
              <w:rPr>
                <w:rFonts w:ascii="Times New Roman" w:hAnsi="Times New Roman" w:cs="Times New Roman" w:eastAsiaTheme="minorEastAsia"/>
                <w:b w:val="0"/>
                <w:color w:val="auto"/>
                <w:sz w:val="21"/>
                <w:szCs w:val="22"/>
                <w:highlight w:val="none"/>
              </w:rPr>
              <w:t>免费质保期</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color w:val="auto"/>
                <w:sz w:val="21"/>
                <w:szCs w:val="22"/>
                <w:highlight w:val="none"/>
              </w:rPr>
            </w:pPr>
            <w:r>
              <w:rPr>
                <w:rFonts w:ascii="Times New Roman" w:hAnsi="Times New Roman" w:cs="Times New Roman" w:eastAsiaTheme="minorEastAsia"/>
                <w:b w:val="0"/>
                <w:color w:val="auto"/>
                <w:sz w:val="21"/>
                <w:szCs w:val="22"/>
                <w:highlight w:val="none"/>
              </w:rPr>
              <w:t>验收合格之日起</w:t>
            </w:r>
            <w:r>
              <w:rPr>
                <w:rFonts w:hint="eastAsia" w:ascii="Times New Roman" w:hAnsi="Times New Roman" w:cs="Times New Roman"/>
                <w:b w:val="0"/>
                <w:color w:val="auto"/>
                <w:sz w:val="21"/>
                <w:szCs w:val="22"/>
                <w:highlight w:val="none"/>
                <w:lang w:val="en-US" w:eastAsia="zh-CN"/>
              </w:rPr>
              <w:t>一年</w:t>
            </w:r>
          </w:p>
        </w:tc>
      </w:tr>
    </w:tbl>
    <w:p>
      <w:pPr>
        <w:spacing w:line="500" w:lineRule="exact"/>
        <w:jc w:val="left"/>
        <w:outlineLvl w:val="1"/>
        <w:rPr>
          <w:rFonts w:ascii="Times New Roman" w:hAnsi="Times New Roman" w:cs="Times New Roman" w:eastAsiaTheme="minorEastAsia"/>
          <w:b/>
          <w:kern w:val="0"/>
          <w:sz w:val="24"/>
        </w:rPr>
      </w:pPr>
      <w:bookmarkStart w:id="6" w:name="_Toc21575"/>
      <w:bookmarkStart w:id="7" w:name="_Toc29570"/>
      <w:bookmarkStart w:id="8" w:name="_Toc501460780"/>
      <w:r>
        <w:rPr>
          <w:rFonts w:hint="eastAsia" w:ascii="Times New Roman" w:hAnsi="Times New Roman" w:cs="Times New Roman"/>
          <w:b/>
          <w:kern w:val="0"/>
          <w:sz w:val="24"/>
          <w:lang w:val="en-US" w:eastAsia="zh-CN"/>
        </w:rPr>
        <w:t>二、货物需求及</w:t>
      </w:r>
      <w:r>
        <w:rPr>
          <w:rFonts w:ascii="Times New Roman" w:hAnsi="Times New Roman" w:cs="Times New Roman" w:eastAsiaTheme="minorEastAsia"/>
          <w:b/>
          <w:kern w:val="0"/>
          <w:sz w:val="24"/>
        </w:rPr>
        <w:t>技术性能指标</w:t>
      </w:r>
      <w:bookmarkEnd w:id="6"/>
      <w:bookmarkEnd w:id="7"/>
      <w:bookmarkEnd w:id="8"/>
    </w:p>
    <w:tbl>
      <w:tblPr>
        <w:tblStyle w:val="21"/>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2"/>
        <w:gridCol w:w="2174"/>
        <w:gridCol w:w="2186"/>
        <w:gridCol w:w="1015"/>
        <w:gridCol w:w="1003"/>
        <w:gridCol w:w="1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6"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品牌规格型号</w:t>
            </w:r>
          </w:p>
        </w:tc>
        <w:tc>
          <w:tcPr>
            <w:tcW w:w="5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9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81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控制单价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联想2045D粉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天勤2045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EPSON黑墨盒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EPSON红墨盒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EPSON黄墨盒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EPSON蓝墨盒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京瓷3011墨粉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京瓷TK7118</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理光黄粉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理光红粉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理光黑粉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理光蓝粉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佳能显影器</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佳能3020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HP1020鼓组件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天勤12A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联想2000D鼓组件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天勤LT2000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联想2045D粉盒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天勤LT2045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联想2405D粉盒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天勤LT2405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联想2406D鼓组件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天勤LT2406</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佳能4010鼓组件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天勤FX9</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佳能3020粉（一套）</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佳能ngp67标容</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交换机（8口）</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Tplink1008</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Tplink-AC1200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一舟超五类</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转接线VGA转HDMI</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绿联</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鼠标</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双飞燕FM10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键盘</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双飞燕FK10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台式计算机主机风扇</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超频3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金士顿优盘（64G）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移动硬盘1T</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希捷</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机械硬盘1T</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希捷</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固态硬盘120G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固态硬盘500G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华硕</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内存条4G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金士顿DDR4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奔图1100墨粉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C1100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内存条8G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金士顿DDR4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计算机主机电源220V</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金河田</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计算机主机电源550V</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金河田</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双刀片接线子</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祥纸源A4纸70g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祥纸源A4纸80g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祥纸源A4纸100g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祥纸源A3纸70g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寻线仪</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精明鼠</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网线钳</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山泽</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苹果mac多功能转接线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mac</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安装电脑系统</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Windows</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HP479黑</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HP479红</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HP479黄</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HP479蓝</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兄弟2560DN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兄弟2560DN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色带架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爱普生635K</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HP277fdn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联想7120W</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兄弟3335粉盒</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HP110A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HP88A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HP136NW</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81"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HP281fdw</w:t>
            </w:r>
          </w:p>
        </w:tc>
        <w:tc>
          <w:tcPr>
            <w:tcW w:w="598"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3"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6" w:type="pct"/>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3" w:type="pct"/>
            <w:gridSpan w:val="5"/>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r>
    </w:tbl>
    <w:p>
      <w:pPr>
        <w:spacing w:line="500" w:lineRule="exact"/>
        <w:ind w:firstLine="359" w:firstLineChars="171"/>
        <w:rPr>
          <w:rFonts w:hint="eastAsia"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说明：</w:t>
      </w:r>
    </w:p>
    <w:p>
      <w:pPr>
        <w:spacing w:line="500" w:lineRule="exact"/>
        <w:ind w:firstLine="359" w:firstLineChars="171"/>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1</w:t>
      </w:r>
      <w:r>
        <w:rPr>
          <w:rFonts w:ascii="Times New Roman" w:hAnsi="Times New Roman" w:eastAsia="宋体" w:cs="Times New Roman"/>
          <w:color w:val="000000"/>
          <w:kern w:val="0"/>
          <w:szCs w:val="21"/>
        </w:rPr>
        <w:t>.投标人应自行踏勘本项目实施现场，核对货物安装现场的土建尺寸等可能影响后期安装的全部因素，确保所投货物满足现场实际安装要求。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lang w:val="en-US" w:eastAsia="zh-CN"/>
        </w:rPr>
        <w:t>2</w:t>
      </w:r>
      <w:r>
        <w:rPr>
          <w:rFonts w:ascii="Times New Roman" w:hAnsi="Times New Roman" w:eastAsia="宋体" w:cs="Times New Roman"/>
          <w:color w:val="000000"/>
          <w:kern w:val="0"/>
          <w:szCs w:val="21"/>
        </w:rPr>
        <w:t>.招标人保留在签订合同之前对本技术规格及要求进行补充和修改的权利，投标人应予以配合。</w:t>
      </w:r>
    </w:p>
    <w:p>
      <w:pPr>
        <w:rPr>
          <w:rFonts w:ascii="宋体" w:hAnsi="宋体" w:eastAsia="宋体" w:cstheme="minorBidi"/>
          <w:kern w:val="0"/>
          <w:sz w:val="20"/>
        </w:rPr>
      </w:pPr>
      <w:bookmarkStart w:id="9" w:name="_Toc5940"/>
      <w:bookmarkStart w:id="10" w:name="_Toc4751"/>
    </w:p>
    <w:p>
      <w:pPr>
        <w:spacing w:line="500" w:lineRule="exact"/>
        <w:jc w:val="left"/>
        <w:outlineLvl w:val="1"/>
        <w:rPr>
          <w:rFonts w:ascii="Times New Roman" w:hAnsi="Times New Roman" w:cs="Times New Roman" w:eastAsiaTheme="minorEastAsia"/>
          <w:b/>
          <w:kern w:val="0"/>
          <w:sz w:val="24"/>
        </w:rPr>
      </w:pPr>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、报价要求</w:t>
      </w:r>
      <w:bookmarkEnd w:id="9"/>
      <w:bookmarkEnd w:id="10"/>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w:t>
      </w:r>
      <w:r>
        <w:rPr>
          <w:rFonts w:hint="eastAsia" w:ascii="Times New Roman" w:hAnsi="Times New Roman" w:eastAsia="宋体" w:cs="Times New Roman"/>
          <w:kern w:val="0"/>
          <w:szCs w:val="21"/>
          <w:lang w:val="en-US" w:eastAsia="zh-CN"/>
        </w:rPr>
        <w:t>每种货物的单价不超过需求清单中的控制单价，</w:t>
      </w:r>
      <w:r>
        <w:rPr>
          <w:rFonts w:ascii="Times New Roman" w:hAnsi="Times New Roman" w:eastAsia="宋体" w:cs="Times New Roman"/>
          <w:kern w:val="0"/>
          <w:szCs w:val="21"/>
        </w:rPr>
        <w:t>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1" w:name="_Toc17615"/>
      <w:r>
        <w:rPr>
          <w:rFonts w:ascii="Times New Roman" w:hAnsi="Times New Roman" w:cs="Times New Roman" w:eastAsiaTheme="minorEastAsia"/>
          <w:b/>
          <w:sz w:val="28"/>
        </w:rPr>
        <w:t>第四章  评审方法和标准</w:t>
      </w:r>
      <w:bookmarkEnd w:id="11"/>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2"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919"/>
        <w:gridCol w:w="5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3"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6"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2</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3</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4</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4"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5</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4"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eastAsia="zh-CN"/>
              </w:rPr>
            </w:pPr>
            <w:r>
              <w:rPr>
                <w:rFonts w:hint="eastAsia" w:ascii="Times New Roman" w:hAnsi="Times New Roman" w:cs="Times New Roman"/>
                <w:szCs w:val="21"/>
                <w:lang w:val="en-US" w:eastAsia="zh-CN"/>
              </w:rPr>
              <w:t>6</w:t>
            </w:r>
          </w:p>
        </w:tc>
        <w:tc>
          <w:tcPr>
            <w:tcW w:w="1159"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2"/>
      <w:bookmarkEnd w:id="13"/>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14" w:name="_Toc28197"/>
      <w:r>
        <w:rPr>
          <w:rFonts w:ascii="Times New Roman" w:hAnsi="Times New Roman" w:cs="Times New Roman" w:eastAsiaTheme="minorEastAsia"/>
          <w:b/>
          <w:sz w:val="28"/>
        </w:rPr>
        <w:t>第五章  合同</w:t>
      </w:r>
      <w:bookmarkEnd w:id="14"/>
    </w:p>
    <w:p>
      <w:pPr>
        <w:adjustRightInd w:val="0"/>
        <w:snapToGrid w:val="0"/>
        <w:spacing w:line="5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需方（以下简称甲方）：</w:t>
      </w:r>
      <w:r>
        <w:rPr>
          <w:rFonts w:hint="eastAsia" w:asciiTheme="minorEastAsia" w:hAnsiTheme="minorEastAsia" w:eastAsiaTheme="minorEastAsia" w:cstheme="minorEastAsia"/>
          <w:color w:val="000000"/>
          <w:szCs w:val="21"/>
        </w:rPr>
        <w:t>合肥文旅博览集团有限公司</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址：合肥市蜀山区习友路与茂荫路交口西北角投资大厦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w:t>
      </w:r>
      <w:r>
        <w:rPr>
          <w:rFonts w:hint="eastAsia" w:asciiTheme="minorEastAsia" w:hAnsiTheme="minorEastAsia" w:eastAsiaTheme="minorEastAsia" w:cstheme="minorEastAsia"/>
          <w:color w:val="000000"/>
          <w:szCs w:val="21"/>
          <w:lang w:val="en-US" w:eastAsia="zh-CN"/>
        </w:rPr>
        <w:t>尹传桂</w:t>
      </w:r>
      <w:r>
        <w:rPr>
          <w:rFonts w:hint="eastAsia" w:asciiTheme="minorEastAsia" w:hAnsiTheme="minorEastAsia" w:eastAsiaTheme="minorEastAsia" w:cstheme="minorEastAsia"/>
          <w:color w:val="000000"/>
          <w:szCs w:val="21"/>
        </w:rPr>
        <w:t xml:space="preserve">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联系人：袁昊辰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电话：13956943654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p>
    <w:p>
      <w:pPr>
        <w:adjustRightInd w:val="0"/>
        <w:snapToGrid w:val="0"/>
        <w:spacing w:line="500" w:lineRule="exact"/>
        <w:ind w:firstLine="422"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供方（以下简称乙方）：</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单位负责人：</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电话：</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w:t>
      </w:r>
      <w:r>
        <w:rPr>
          <w:rFonts w:hint="eastAsia" w:asciiTheme="minorEastAsia" w:hAnsiTheme="minorEastAsia" w:cstheme="minorEastAsia"/>
          <w:color w:val="000000"/>
          <w:szCs w:val="21"/>
          <w:lang w:val="en-US" w:eastAsia="zh-CN"/>
        </w:rPr>
        <w:t>甲方通过询价方式招采，乙方响应采购需求及相关文件</w:t>
      </w:r>
      <w:r>
        <w:rPr>
          <w:rFonts w:hint="eastAsia" w:asciiTheme="minorEastAsia" w:hAnsiTheme="minorEastAsia" w:eastAsiaTheme="minorEastAsia" w:cstheme="minorEastAsia"/>
          <w:color w:val="000000"/>
          <w:szCs w:val="21"/>
        </w:rPr>
        <w:t>，</w:t>
      </w:r>
      <w:r>
        <w:rPr>
          <w:rFonts w:hint="eastAsia" w:asciiTheme="minorEastAsia" w:hAnsiTheme="minorEastAsia" w:cstheme="minorEastAsia"/>
          <w:color w:val="000000"/>
          <w:szCs w:val="21"/>
          <w:lang w:val="en-US" w:eastAsia="zh-CN"/>
        </w:rPr>
        <w:t>现</w:t>
      </w:r>
      <w:r>
        <w:rPr>
          <w:rFonts w:hint="eastAsia" w:asciiTheme="minorEastAsia" w:hAnsiTheme="minorEastAsia" w:eastAsiaTheme="minorEastAsia" w:cstheme="minorEastAsia"/>
          <w:color w:val="000000"/>
          <w:szCs w:val="21"/>
        </w:rPr>
        <w:t>就【 合肥文旅博览集团办公耗材采购 】采购事项，订立本合同。</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第一条 采购内容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1.1品牌、型号、数量、单价、配置及期限</w:t>
      </w:r>
    </w:p>
    <w:tbl>
      <w:tblPr>
        <w:tblStyle w:val="21"/>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0"/>
        <w:gridCol w:w="2174"/>
        <w:gridCol w:w="2186"/>
        <w:gridCol w:w="1015"/>
        <w:gridCol w:w="1003"/>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8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8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品牌规格型号</w:t>
            </w:r>
          </w:p>
        </w:tc>
        <w:tc>
          <w:tcPr>
            <w:tcW w:w="59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9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8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highlight w:val="none"/>
                <w:u w:val="none"/>
                <w:lang w:val="en-US" w:eastAsia="zh-CN" w:bidi="ar"/>
              </w:rPr>
              <w:t>单价（含税）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联想2045D粉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天勤2045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EPSON黑墨盒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81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EPSON红墨盒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EPSON黄墨盒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EPSON蓝墨盒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EPSON8690a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京瓷3011墨粉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京瓷TK7118</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理光黄粉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理光红粉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理光黑粉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理光蓝粉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理光mc2001L</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佳能显影器</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佳能3020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HP1020鼓组件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天勤12A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联想2000D鼓组件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天勤LT2000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联想2045D粉盒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天勤LT2045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联想2405D粉盒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天勤LT2405</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联想2406D鼓组件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天勤LT2406</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佳能4010鼓组件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天勤FX9</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佳能3020粉（一套）</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佳能ngp67标容</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交换机（8口）</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Tplink1008</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路由器</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Tplink-AC1200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Tplink</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一舟超五类</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转接线VGA转HDMI</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绿联</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鼠标</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双飞燕FM10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键盘</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双飞燕FK10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台式计算机主机风扇</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超频3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金士顿优盘（64G）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移动硬盘1T</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希捷</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机械硬盘1T</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希捷</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固态硬盘120G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固态硬盘500G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华硕</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内存条4G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金士顿DDR4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奔图1100墨粉</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C1100</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内存条8G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金士顿DDR4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计算机主机电源220V</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金河田</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计算机主机电源550V</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金河田</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双刀片接线子</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通用</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祥纸源A4纸70g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祥纸源A4纸80g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祥纸源A4纸100g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祥纸源A4</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祥纸源A3纸70g</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祥纸源A3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寻线仪</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精明鼠</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网线钳</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山泽</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苹果mac多功能转接线</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mac</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安装电脑系统</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Windows</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HP479黑</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HP479红</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HP479黄</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HP479蓝</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HP203</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兄弟2560DN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兄弟2560DN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色带架</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爱普生635K</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HP277fdn</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联想7120W</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粉盒</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兄弟3335粉盒</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HP110A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HP88A</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28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HP136NW</w:t>
            </w:r>
          </w:p>
        </w:tc>
        <w:tc>
          <w:tcPr>
            <w:tcW w:w="59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281"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硒鼓</w:t>
            </w:r>
          </w:p>
        </w:tc>
        <w:tc>
          <w:tcPr>
            <w:tcW w:w="1288"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HP281fdw</w:t>
            </w:r>
          </w:p>
        </w:tc>
        <w:tc>
          <w:tcPr>
            <w:tcW w:w="598"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91"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15" w:type="pc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425" w:type="pct"/>
            <w:tcBorders>
              <w:top w:val="nil"/>
              <w:left w:val="single" w:color="000000" w:sz="8" w:space="0"/>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574" w:type="pct"/>
            <w:gridSpan w:val="5"/>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合计（元）</w:t>
            </w:r>
          </w:p>
        </w:tc>
      </w:tr>
    </w:tbl>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1.2甲方有权根据自身需求调整产品数量，</w:t>
      </w:r>
      <w:r>
        <w:rPr>
          <w:rFonts w:hint="eastAsia" w:asciiTheme="minorEastAsia" w:hAnsiTheme="minorEastAsia" w:cstheme="minorEastAsia"/>
          <w:color w:val="000000"/>
          <w:szCs w:val="21"/>
          <w:lang w:val="en-US" w:eastAsia="zh-CN"/>
        </w:rPr>
        <w:t>双方</w:t>
      </w:r>
      <w:r>
        <w:rPr>
          <w:rFonts w:hint="eastAsia" w:asciiTheme="minorEastAsia" w:hAnsiTheme="minorEastAsia" w:eastAsiaTheme="minorEastAsia" w:cstheme="minorEastAsia"/>
          <w:color w:val="000000"/>
          <w:szCs w:val="21"/>
        </w:rPr>
        <w:t>根据清单价格</w:t>
      </w:r>
      <w:r>
        <w:rPr>
          <w:rFonts w:hint="eastAsia" w:asciiTheme="minorEastAsia" w:hAnsiTheme="minorEastAsia" w:cstheme="minorEastAsia"/>
          <w:color w:val="000000"/>
          <w:szCs w:val="21"/>
          <w:lang w:val="en-US" w:eastAsia="zh-CN"/>
        </w:rPr>
        <w:t>和实际交货量</w:t>
      </w:r>
      <w:r>
        <w:rPr>
          <w:rFonts w:hint="eastAsia" w:asciiTheme="minorEastAsia" w:hAnsiTheme="minorEastAsia" w:eastAsiaTheme="minorEastAsia" w:cstheme="minorEastAsia"/>
          <w:color w:val="000000"/>
          <w:szCs w:val="21"/>
        </w:rPr>
        <w:t>与乙方据实结算。</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1.3双方确认，本合同的签订，并不意味着本采购项目所需的产品全部由乙方供应，甲方有权根据实际情况另行向其他供应方采购。</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 合同总额暂定为：人民币(大写) 【   】元(小写￥【  】元</w:t>
      </w:r>
      <w:r>
        <w:rPr>
          <w:rFonts w:hint="eastAsia" w:asciiTheme="minorEastAsia" w:hAnsiTheme="minorEastAsia" w:cstheme="minorEastAsia"/>
          <w:color w:val="000000"/>
          <w:szCs w:val="21"/>
          <w:lang w:eastAsia="zh-CN"/>
        </w:rPr>
        <w:t>，</w:t>
      </w:r>
      <w:r>
        <w:rPr>
          <w:rFonts w:hint="eastAsia" w:asciiTheme="minorEastAsia" w:hAnsiTheme="minorEastAsia" w:cstheme="minorEastAsia"/>
          <w:color w:val="000000"/>
          <w:szCs w:val="21"/>
          <w:lang w:val="en-US" w:eastAsia="zh-CN"/>
        </w:rPr>
        <w:t>含税   %</w:t>
      </w:r>
      <w:r>
        <w:rPr>
          <w:rFonts w:hint="eastAsia" w:asciiTheme="minorEastAsia" w:hAnsiTheme="minorEastAsia" w:eastAsiaTheme="minorEastAsia" w:cstheme="minorEastAsia"/>
          <w:color w:val="000000"/>
          <w:szCs w:val="21"/>
        </w:rPr>
        <w:t xml:space="preserve">), </w:t>
      </w:r>
      <w:bookmarkStart w:id="15"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15"/>
      <w:r>
        <w:rPr>
          <w:rFonts w:hint="eastAsia" w:asciiTheme="minorEastAsia" w:hAnsiTheme="minorEastAsia" w:eastAsiaTheme="minorEastAsia" w:cstheme="minorEastAsia"/>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2.2合同价款的支付：采用如下第【</w:t>
      </w:r>
      <w:r>
        <w:rPr>
          <w:rFonts w:hint="eastAsia" w:asciiTheme="minorEastAsia" w:hAnsiTheme="minorEastAsia" w:cstheme="minorEastAsia"/>
          <w:color w:val="000000"/>
          <w:szCs w:val="21"/>
          <w:lang w:val="en-US" w:eastAsia="zh-CN"/>
        </w:rPr>
        <w:t>1</w:t>
      </w:r>
      <w:r>
        <w:rPr>
          <w:rFonts w:hint="eastAsia" w:asciiTheme="minorEastAsia" w:hAnsiTheme="minorEastAsia" w:eastAsiaTheme="minorEastAsia" w:cstheme="minorEastAsia"/>
          <w:color w:val="000000"/>
          <w:szCs w:val="21"/>
        </w:rPr>
        <w:t xml:space="preserve"> 】 种方式：</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w:t>
      </w:r>
      <w:r>
        <w:rPr>
          <w:rFonts w:hint="eastAsia" w:asciiTheme="minorEastAsia" w:hAnsiTheme="minorEastAsia" w:cstheme="minorEastAsia"/>
          <w:color w:val="000000"/>
          <w:szCs w:val="21"/>
          <w:lang w:val="en-US" w:eastAsia="zh-CN"/>
        </w:rPr>
        <w:t>按次结算</w:t>
      </w:r>
      <w:r>
        <w:rPr>
          <w:rFonts w:hint="eastAsia" w:asciiTheme="minorEastAsia" w:hAnsiTheme="minorEastAsia" w:eastAsiaTheme="minorEastAsia" w:cstheme="minorEastAsia"/>
          <w:color w:val="000000"/>
          <w:szCs w:val="21"/>
        </w:rPr>
        <w:t>支付</w:t>
      </w:r>
    </w:p>
    <w:p>
      <w:pPr>
        <w:adjustRightInd w:val="0"/>
        <w:snapToGrid w:val="0"/>
        <w:spacing w:line="500" w:lineRule="exact"/>
        <w:ind w:left="420" w:leftChars="200" w:firstLine="0" w:firstLineChars="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产品到货并经甲方验收合格后按季度结算支付实际货物，合同期内总费用不超过合同价。（2）分期支付</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A.本合同签署生效后【】个工作日内，甲方向乙方支付合同总价款的【】 ％作为预付款，即人民币【】元，大写【】元整；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B.乙方完成合同全部义务且经甲方验收合格后【】个工作日内，甲方向乙方支付合同总价款的【】％，即人民币【】元，大写【】元整；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C.剩余合同总价款的【】％即人民币【】元，大写【】元整作为质量保证金，质量保证期届满后【】个工作日内且甲方向乙方无息支付该款项。      </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w:t>
      </w:r>
      <w:r>
        <w:rPr>
          <w:rFonts w:hint="eastAsia" w:asciiTheme="minorEastAsia" w:hAnsiTheme="minorEastAsia" w:cstheme="minorEastAsia"/>
          <w:color w:val="000000"/>
          <w:szCs w:val="21"/>
          <w:lang w:val="en-US" w:eastAsia="zh-CN"/>
        </w:rPr>
        <w:t>和等额有效税务发票等</w:t>
      </w:r>
      <w:r>
        <w:rPr>
          <w:rFonts w:hint="eastAsia" w:asciiTheme="minorEastAsia" w:hAnsiTheme="minorEastAsia" w:eastAsiaTheme="minorEastAsia" w:cstheme="minorEastAsia"/>
          <w:color w:val="000000"/>
          <w:szCs w:val="21"/>
        </w:rPr>
        <w:t>导致甲方未支付的，甲方不承担任何违约责任。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 履约保证金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2.6.1履约保证金数额：中标价的 【】％，即合同暂定总价款的【】%为【】元（大写：【】元整）。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2.6.2担保形式：□现金保证 □现金支票 □银行汇票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□银行保函☑银行转账 □工程担保  □保证保险</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2.6.3收受人为:□招标人、委托人</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2.6.4退还：全部货物完成交付，并验收合格，且质保期满后</w:t>
      </w:r>
      <w:r>
        <w:rPr>
          <w:rFonts w:asciiTheme="minorEastAsia" w:hAnsiTheme="minorEastAsia" w:eastAsiaTheme="minorEastAsia" w:cstheme="minorEastAsia"/>
          <w:color w:val="000000"/>
          <w:szCs w:val="21"/>
        </w:rPr>
        <w:t>30日内一次性退还（无息）</w:t>
      </w:r>
      <w:r>
        <w:rPr>
          <w:rFonts w:hint="eastAsia" w:asciiTheme="minorEastAsia" w:hAnsiTheme="minorEastAsia" w:eastAsiaTheme="minorEastAsia" w:cstheme="minorEastAsia"/>
          <w:color w:val="000000"/>
          <w:szCs w:val="21"/>
        </w:rPr>
        <w:t>。对于乙方应当向甲方支付的违约金、赔偿金、以及其他费用，甲方均有权从履约保证金中直接扣除。</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3.1本合同标的物须为原厂正版，并达到国家标准，无任何权利瑕疵。</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3.2乙方须对产品的质量负责，产品交付甲方后，凡因产品质量不符合约定或有</w:t>
      </w:r>
      <w:r>
        <w:rPr>
          <w:rFonts w:hint="eastAsia" w:asciiTheme="minorEastAsia" w:hAnsiTheme="minorEastAsia" w:cstheme="minorEastAsia"/>
          <w:color w:val="000000"/>
          <w:szCs w:val="21"/>
          <w:lang w:eastAsia="zh-CN"/>
        </w:rPr>
        <w:t>其他</w:t>
      </w:r>
      <w:r>
        <w:rPr>
          <w:rFonts w:hint="eastAsia" w:asciiTheme="minorEastAsia" w:hAnsiTheme="minorEastAsia" w:eastAsiaTheme="minorEastAsia" w:cstheme="minorEastAsia"/>
          <w:color w:val="000000"/>
          <w:szCs w:val="21"/>
        </w:rPr>
        <w:t>内在质量瑕疵，而给甲方或任何第三方造成人身损害和财产损失的，均由乙方承担责任。</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pPr>
        <w:adjustRightInd w:val="0"/>
        <w:snapToGrid w:val="0"/>
        <w:spacing w:line="500" w:lineRule="exact"/>
        <w:ind w:firstLine="420" w:firstLineChars="200"/>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4.1乙方应于本合同签订后，在合同期内定期按甲方要求，在甲方提出需求清单后7日内将清单中货物提供至指定地址，并由甲方验收。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r>
        <w:rPr>
          <w:rFonts w:hint="eastAsia" w:asciiTheme="minorEastAsia" w:hAnsiTheme="minorEastAsia" w:cstheme="minorEastAsia"/>
          <w:color w:val="000000"/>
          <w:szCs w:val="21"/>
          <w:lang w:val="en-US" w:eastAsia="zh-CN"/>
        </w:rPr>
        <w:t>2</w:t>
      </w:r>
      <w:r>
        <w:rPr>
          <w:rFonts w:hint="eastAsia" w:asciiTheme="minorEastAsia" w:hAnsiTheme="minorEastAsia" w:eastAsiaTheme="minorEastAsia" w:cstheme="minorEastAsia"/>
          <w:color w:val="000000"/>
          <w:szCs w:val="21"/>
        </w:rPr>
        <w:t>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w:t>
      </w:r>
      <w:r>
        <w:rPr>
          <w:rFonts w:hint="eastAsia" w:asciiTheme="minorEastAsia" w:hAnsi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 xml:space="preserve">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w:t>
      </w:r>
      <w:r>
        <w:rPr>
          <w:rFonts w:hint="eastAsia" w:asciiTheme="minorEastAsia" w:hAnsiTheme="minorEastAsia" w:cstheme="minorEastAsia"/>
          <w:color w:val="000000"/>
          <w:szCs w:val="21"/>
          <w:lang w:val="en-US" w:eastAsia="zh-CN"/>
        </w:rPr>
        <w:t>4</w:t>
      </w:r>
      <w:r>
        <w:rPr>
          <w:rFonts w:asciiTheme="minorEastAsia" w:hAnsiTheme="minorEastAsia" w:eastAsiaTheme="minorEastAsia" w:cstheme="minorEastAsia"/>
          <w:color w:val="000000"/>
          <w:szCs w:val="21"/>
        </w:rPr>
        <w:t>、货物的包装应符合国家的规定，并确保安全、卫生后，才交甲方使用。产品包装须保护产品完整、不受损伤，包装物不回收。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w:t>
      </w:r>
      <w:r>
        <w:rPr>
          <w:rFonts w:hint="eastAsia" w:asciiTheme="minorEastAsia" w:hAnsiTheme="minorEastAsia" w:cstheme="minorEastAsia"/>
          <w:color w:val="000000"/>
          <w:szCs w:val="21"/>
          <w:lang w:val="en-US" w:eastAsia="zh-CN"/>
        </w:rPr>
        <w:t>5</w:t>
      </w:r>
      <w:r>
        <w:rPr>
          <w:rFonts w:asciiTheme="minorEastAsia" w:hAnsiTheme="minorEastAsia" w:eastAsiaTheme="minorEastAsia" w:cstheme="minorEastAsia"/>
          <w:color w:val="000000"/>
          <w:szCs w:val="21"/>
        </w:rPr>
        <w:t>、货物的包装之标识应符合中华人民共和国法律、法规等对有关标的说明、产地、原材料、用途、警语、保质期及保质条件等之规定，否则甲方有权拒收。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5.1货物送达到甲方指定地点后，甲方按照产品清单对货物的数量和外观进行验货；如发现产品与合同约定不符，或货物有破损、缺件以及其他不符合质量约定的情形等，乙方应及时按甲方要求处理。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6.2货物在原产地、质量、规格及性能等方面符合本合同有关规定的要求。</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w:t>
      </w:r>
      <w:r>
        <w:rPr>
          <w:rFonts w:hint="eastAsia" w:asciiTheme="minorEastAsia" w:hAnsiTheme="minorEastAsia" w:cstheme="minorEastAsia"/>
          <w:color w:val="000000"/>
          <w:szCs w:val="21"/>
          <w:lang w:val="en-US" w:eastAsia="zh-CN"/>
        </w:rPr>
        <w:t>过</w:t>
      </w:r>
      <w:r>
        <w:rPr>
          <w:rFonts w:hint="eastAsia" w:asciiTheme="minorEastAsia" w:hAnsiTheme="minorEastAsia" w:eastAsiaTheme="minorEastAsia" w:cstheme="minorEastAsia"/>
          <w:color w:val="000000"/>
          <w:szCs w:val="21"/>
        </w:rPr>
        <w:t>20天的，甲方有权解除本合同。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16"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16"/>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17"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17"/>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18"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18"/>
      <w:r>
        <w:rPr>
          <w:rFonts w:hint="eastAsia" w:asciiTheme="minorEastAsia" w:hAnsiTheme="minorEastAsia" w:eastAsiaTheme="minorEastAsia" w:cstheme="minorEastAsia"/>
          <w:color w:val="000000"/>
          <w:szCs w:val="21"/>
        </w:rPr>
        <w:t>。</w:t>
      </w:r>
    </w:p>
    <w:p>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19" w:name="_Hlk49085629"/>
      <w:r>
        <w:rPr>
          <w:rFonts w:hint="eastAsia" w:asciiTheme="minorEastAsia" w:hAnsiTheme="minorEastAsia" w:eastAsiaTheme="minorEastAsia" w:cstheme="minorEastAsia"/>
          <w:b/>
          <w:bCs/>
          <w:color w:val="000000"/>
          <w:szCs w:val="21"/>
        </w:rPr>
        <w:t>第十一条   送达地址</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19"/>
    <w:p>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20"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20"/>
    <w:p>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1"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w:t>
      </w:r>
      <w:r>
        <w:rPr>
          <w:rFonts w:hint="eastAsia" w:asciiTheme="minorEastAsia" w:hAnsiTheme="minorEastAsia" w:cstheme="minorEastAsia"/>
          <w:color w:val="000000"/>
          <w:szCs w:val="21"/>
          <w:lang w:eastAsia="zh-CN"/>
        </w:rPr>
        <w:t>其他</w:t>
      </w:r>
      <w:r>
        <w:rPr>
          <w:rFonts w:hint="eastAsia" w:asciiTheme="minorEastAsia" w:hAnsiTheme="minorEastAsia" w:eastAsiaTheme="minorEastAsia" w:cstheme="minorEastAsia"/>
          <w:color w:val="000000"/>
          <w:szCs w:val="21"/>
        </w:rPr>
        <w:t>资料；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w:t>
      </w:r>
      <w:r>
        <w:rPr>
          <w:rFonts w:hint="eastAsia" w:asciiTheme="minorEastAsia" w:hAnsiTheme="minorEastAsia" w:cstheme="minorEastAsia"/>
          <w:color w:val="000000"/>
          <w:szCs w:val="21"/>
          <w:lang w:val="en-US" w:eastAsia="zh-CN"/>
        </w:rPr>
        <w:t>肆</w:t>
      </w:r>
      <w:r>
        <w:rPr>
          <w:rFonts w:hint="eastAsia" w:asciiTheme="minorEastAsia" w:hAnsiTheme="minorEastAsia" w:eastAsiaTheme="minorEastAsia" w:cstheme="minorEastAsia"/>
          <w:color w:val="000000"/>
          <w:szCs w:val="21"/>
        </w:rPr>
        <w:t>】份，甲方执【</w:t>
      </w:r>
      <w:r>
        <w:rPr>
          <w:rFonts w:hint="eastAsia" w:asciiTheme="minorEastAsia" w:hAnsiTheme="minorEastAsia" w:cstheme="minorEastAsia"/>
          <w:color w:val="000000"/>
          <w:szCs w:val="21"/>
          <w:lang w:val="en-US" w:eastAsia="zh-CN"/>
        </w:rPr>
        <w:t>贰</w:t>
      </w:r>
      <w:r>
        <w:rPr>
          <w:rFonts w:hint="eastAsia" w:asciiTheme="minorEastAsia" w:hAnsiTheme="minorEastAsia" w:eastAsiaTheme="minorEastAsia" w:cstheme="minorEastAsia"/>
          <w:color w:val="000000"/>
          <w:szCs w:val="21"/>
        </w:rPr>
        <w:t>】份,乙方执【</w:t>
      </w:r>
      <w:r>
        <w:rPr>
          <w:rFonts w:hint="eastAsia" w:asciiTheme="minorEastAsia" w:hAnsiTheme="minorEastAsia" w:cstheme="minorEastAsia"/>
          <w:color w:val="000000"/>
          <w:szCs w:val="21"/>
          <w:lang w:val="en-US" w:eastAsia="zh-CN"/>
        </w:rPr>
        <w:t>贰</w:t>
      </w:r>
      <w:r>
        <w:rPr>
          <w:rFonts w:hint="eastAsia" w:asciiTheme="minorEastAsia" w:hAnsiTheme="minorEastAsia" w:eastAsiaTheme="minorEastAsia" w:cstheme="minorEastAsia"/>
          <w:color w:val="000000"/>
          <w:szCs w:val="21"/>
        </w:rPr>
        <w:t>】份，均具有同等法律效力。</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21"/>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bookmarkStart w:id="22" w:name="_Hlk49085733"/>
      <w:r>
        <w:rPr>
          <w:rFonts w:hint="eastAsia" w:asciiTheme="minorEastAsia" w:hAnsiTheme="minorEastAsia" w:eastAsiaTheme="minorEastAsia" w:cstheme="minorEastAsia"/>
          <w:b/>
          <w:bCs/>
          <w:color w:val="000000"/>
          <w:szCs w:val="21"/>
        </w:rPr>
        <w:t xml:space="preserve">甲方（盖章）：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pPr>
        <w:adjustRightInd w:val="0"/>
        <w:snapToGrid w:val="0"/>
        <w:spacing w:line="500" w:lineRule="exact"/>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22"/>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23" w:name="_Toc22226"/>
      <w:r>
        <w:rPr>
          <w:rFonts w:ascii="Times New Roman" w:hAnsi="Times New Roman" w:cs="Times New Roman" w:eastAsiaTheme="minorEastAsia"/>
          <w:b/>
          <w:sz w:val="28"/>
        </w:rPr>
        <w:t>第六章  投标文件格式</w:t>
      </w:r>
      <w:bookmarkEnd w:id="23"/>
    </w:p>
    <w:p>
      <w:pPr>
        <w:spacing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rPr>
        <w:t>某项目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2"/>
        </w:numPr>
        <w:spacing w:line="360" w:lineRule="auto"/>
        <w:jc w:val="center"/>
        <w:outlineLvl w:val="2"/>
        <w:rPr>
          <w:rFonts w:ascii="Times New Roman" w:hAnsi="Times New Roman" w:cs="Times New Roman" w:eastAsiaTheme="minorEastAsia"/>
          <w:b/>
          <w:sz w:val="24"/>
        </w:rPr>
      </w:pPr>
      <w:bookmarkStart w:id="24" w:name="_Hlk23205287"/>
      <w:r>
        <w:rPr>
          <w:rFonts w:ascii="Times New Roman" w:hAnsi="Times New Roman" w:cs="Times New Roman" w:eastAsiaTheme="minorEastAsia"/>
          <w:b/>
          <w:sz w:val="24"/>
        </w:rPr>
        <w:t>报价表</w:t>
      </w:r>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某项目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某编号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hint="default" w:ascii="Times New Roman" w:hAnsi="Times New Roman" w:cs="Times New Roman" w:eastAsiaTheme="minorEastAsia"/>
                <w:bCs/>
                <w:sz w:val="24"/>
                <w:szCs w:val="24"/>
                <w:u w:val="single"/>
                <w:lang w:val="en-US" w:eastAsia="zh-CN"/>
              </w:rPr>
            </w:pPr>
            <w:r>
              <w:rPr>
                <w:rFonts w:hint="eastAsia" w:ascii="Times New Roman" w:hAnsi="Times New Roman" w:cs="Times New Roman"/>
                <w:bCs/>
                <w:sz w:val="24"/>
                <w:szCs w:val="24"/>
                <w:u w:val="none"/>
                <w:lang w:val="en-US" w:eastAsia="zh-CN"/>
              </w:rPr>
              <w:t>人民币小写：</w:t>
            </w:r>
            <w:r>
              <w:rPr>
                <w:rFonts w:hint="eastAsia" w:ascii="Times New Roman" w:hAnsi="Times New Roman" w:cs="Times New Roman"/>
                <w:bCs/>
                <w:sz w:val="24"/>
                <w:szCs w:val="24"/>
                <w:u w:val="single"/>
                <w:lang w:val="en-US" w:eastAsia="zh-CN"/>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序号</w:t>
            </w:r>
          </w:p>
        </w:tc>
        <w:tc>
          <w:tcPr>
            <w:tcW w:w="777"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货物名称</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品牌、型</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号规格</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原产地及</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生产厂商</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单位</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数量</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单价</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小计</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393"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1</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2</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3</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4</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5</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6</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7</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8</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vAlign w:val="center"/>
          </w:tcPr>
          <w:p>
            <w:pPr>
              <w:rPr>
                <w:rFonts w:ascii="Times New Roman" w:hAnsi="Times New Roman" w:cs="Times New Roman" w:eastAsiaTheme="minorEastAsia"/>
                <w:sz w:val="24"/>
              </w:rPr>
            </w:pPr>
            <w:r>
              <w:rPr>
                <w:rFonts w:ascii="Times New Roman" w:hAnsi="Times New Roman" w:cs="Times New Roman" w:eastAsiaTheme="minorEastAsia"/>
                <w:sz w:val="24"/>
              </w:rPr>
              <w:t>其他费用</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合计（元）</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bl>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pPr>
        <w:spacing w:line="360" w:lineRule="auto"/>
        <w:jc w:val="righ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ascii="Times New Roman" w:hAnsi="Times New Roman" w:cs="Times New Roman" w:eastAsiaTheme="minorEastAsia"/>
          <w:sz w:val="24"/>
          <w:u w:val="single"/>
        </w:rPr>
        <w:t>某招标单位</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pPr>
              <w:pStyle w:val="11"/>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bl>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pPr>
        <w:numPr>
          <w:ilvl w:val="0"/>
          <w:numId w:val="3"/>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pPr>
        <w:numPr>
          <w:ilvl w:val="0"/>
          <w:numId w:val="3"/>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bidi w:val="0"/>
      </w:pP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p>
      <w:pPr>
        <w:spacing w:line="500" w:lineRule="exact"/>
        <w:jc w:val="center"/>
        <w:rPr>
          <w:rFonts w:hint="default" w:eastAsia="黑体"/>
          <w:sz w:val="32"/>
          <w:szCs w:val="32"/>
          <w:lang w:val="en-US" w:eastAsia="zh-CN"/>
        </w:rPr>
      </w:pPr>
      <w:bookmarkStart w:id="25" w:name="_Toc535241084"/>
      <w:bookmarkStart w:id="26" w:name="_Toc535241130"/>
      <w:bookmarkStart w:id="27" w:name="_Toc535241227"/>
      <w:bookmarkStart w:id="28" w:name="_Toc224103498"/>
      <w:bookmarkStart w:id="29" w:name="_Toc224103497"/>
      <w:r>
        <w:rPr>
          <w:sz w:val="32"/>
          <w:szCs w:val="32"/>
        </w:rPr>
        <w:br w:type="page"/>
      </w:r>
      <w:r>
        <w:rPr>
          <w:rFonts w:eastAsia="黑体"/>
          <w:bCs/>
          <w:sz w:val="24"/>
        </w:rPr>
        <w:t>授权委托书</w:t>
      </w:r>
      <w:bookmarkEnd w:id="25"/>
      <w:bookmarkEnd w:id="26"/>
      <w:bookmarkEnd w:id="27"/>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28"/>
      <w:bookmarkEnd w:id="29"/>
    </w:p>
    <w:p>
      <w:pPr>
        <w:spacing w:line="360" w:lineRule="auto"/>
        <w:jc w:val="center"/>
        <w:outlineLvl w:val="2"/>
        <w:rPr>
          <w:rFonts w:ascii="Times New Roman" w:hAnsi="Times New Roman" w:cs="Times New Roman" w:eastAsiaTheme="minorEastAsia"/>
          <w:b/>
          <w:sz w:val="24"/>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、供货安装（调试）方案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、售后服务与维保方案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rPr>
          <w:rFonts w:ascii="Times New Roman" w:hAnsi="Times New Roman" w:cs="Times New Roman"/>
        </w:rPr>
      </w:pPr>
    </w:p>
    <w:p>
      <w:pPr>
        <w:widowControl/>
        <w:jc w:val="center"/>
        <w:rPr>
          <w:rFonts w:ascii="Times New Roman" w:hAnsi="Times New Roman" w:cs="Times New Roman" w:eastAsiaTheme="minorEastAsia"/>
          <w:b/>
          <w:sz w:val="24"/>
        </w:rPr>
      </w:pPr>
      <w:bookmarkStart w:id="30" w:name="_Hlk11701496"/>
      <w:bookmarkStart w:id="31" w:name="_Toc520299364"/>
      <w:r>
        <w:rPr>
          <w:rFonts w:hint="eastAsia" w:ascii="Times New Roman" w:hAnsi="Times New Roman" w:cs="Times New Roman"/>
          <w:b/>
          <w:sz w:val="24"/>
          <w:lang w:val="en-US" w:eastAsia="zh-CN"/>
        </w:rPr>
        <w:t>七</w:t>
      </w:r>
      <w:r>
        <w:rPr>
          <w:rFonts w:ascii="Times New Roman" w:hAnsi="Times New Roman" w:cs="Times New Roman" w:eastAsiaTheme="minorEastAsia"/>
          <w:b/>
          <w:sz w:val="24"/>
        </w:rPr>
        <w:t>、</w:t>
      </w:r>
      <w:bookmarkEnd w:id="30"/>
      <w:bookmarkEnd w:id="31"/>
      <w:r>
        <w:rPr>
          <w:rFonts w:ascii="Times New Roman" w:hAnsi="Times New Roman" w:cs="Times New Roman" w:eastAsiaTheme="minorEastAsia"/>
          <w:b/>
          <w:sz w:val="24"/>
        </w:rPr>
        <w:t>其他相关证明材料</w:t>
      </w:r>
    </w:p>
    <w:p>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pPr>
        <w:spacing w:line="360" w:lineRule="auto"/>
        <w:ind w:firstLine="480" w:firstLineChars="200"/>
        <w:jc w:val="center"/>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24"/>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A6B68FE-BEF8-4849-909C-9F0B173AC1F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A29DA14-37A7-4DB0-971E-E7E16BFB06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ì.">
    <w:altName w:val="宋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embedRegular r:id="rId3" w:fontKey="{4B7D31A7-2B05-44BE-A7E0-32C7496D39A1}"/>
  </w:font>
  <w:font w:name="Segoe UI Symbol">
    <w:panose1 w:val="020B0502040204020203"/>
    <w:charset w:val="00"/>
    <w:family w:val="swiss"/>
    <w:pitch w:val="default"/>
    <w:sig w:usb0="800001E3" w:usb1="1200FFEF" w:usb2="00040000" w:usb3="04000000" w:csb0="00000001" w:csb1="40000000"/>
    <w:embedRegular r:id="rId4" w:fontKey="{5ACEC5AA-2FFB-48D8-99C7-81D7C5AE4EDE}"/>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1M2JiMDliOThmNzRmZDhjNzliMzIzNDk4MTZiMGQifQ=="/>
    <w:docVar w:name="KSO_WPS_MARK_KEY" w:val="767144e4-53be-478c-9d9f-4713af51947d"/>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1A446F"/>
    <w:rsid w:val="03AF0B69"/>
    <w:rsid w:val="04620439"/>
    <w:rsid w:val="05EC3108"/>
    <w:rsid w:val="06257970"/>
    <w:rsid w:val="06C07699"/>
    <w:rsid w:val="094A1BE5"/>
    <w:rsid w:val="097D52B6"/>
    <w:rsid w:val="09B554AF"/>
    <w:rsid w:val="0DAB22C6"/>
    <w:rsid w:val="11554019"/>
    <w:rsid w:val="129462CC"/>
    <w:rsid w:val="13397BCE"/>
    <w:rsid w:val="1343423F"/>
    <w:rsid w:val="14717EAE"/>
    <w:rsid w:val="17356927"/>
    <w:rsid w:val="18B232E6"/>
    <w:rsid w:val="18F71640"/>
    <w:rsid w:val="19541DD9"/>
    <w:rsid w:val="19A4731C"/>
    <w:rsid w:val="19F766BC"/>
    <w:rsid w:val="1A357A52"/>
    <w:rsid w:val="1A6A3C67"/>
    <w:rsid w:val="1A6B5E42"/>
    <w:rsid w:val="1AF96A3E"/>
    <w:rsid w:val="1C1F6775"/>
    <w:rsid w:val="1C9D605B"/>
    <w:rsid w:val="1CDB6B83"/>
    <w:rsid w:val="1DAA2521"/>
    <w:rsid w:val="20E74328"/>
    <w:rsid w:val="23B75C54"/>
    <w:rsid w:val="245F009A"/>
    <w:rsid w:val="2461092B"/>
    <w:rsid w:val="25164BFC"/>
    <w:rsid w:val="26522036"/>
    <w:rsid w:val="2783171D"/>
    <w:rsid w:val="29E5020D"/>
    <w:rsid w:val="2A4D3B36"/>
    <w:rsid w:val="2C247DAC"/>
    <w:rsid w:val="2CC14B77"/>
    <w:rsid w:val="2D551432"/>
    <w:rsid w:val="2F733923"/>
    <w:rsid w:val="2F760751"/>
    <w:rsid w:val="30902F79"/>
    <w:rsid w:val="31EB11BF"/>
    <w:rsid w:val="32D57EA5"/>
    <w:rsid w:val="33075DFB"/>
    <w:rsid w:val="33263D6A"/>
    <w:rsid w:val="35961E97"/>
    <w:rsid w:val="35A43BDE"/>
    <w:rsid w:val="35CF4AD8"/>
    <w:rsid w:val="379C71E3"/>
    <w:rsid w:val="39B74BDE"/>
    <w:rsid w:val="3A0D2667"/>
    <w:rsid w:val="3B3B6D13"/>
    <w:rsid w:val="3F53046B"/>
    <w:rsid w:val="3F6C673E"/>
    <w:rsid w:val="40780A59"/>
    <w:rsid w:val="42784CF1"/>
    <w:rsid w:val="46BE10FF"/>
    <w:rsid w:val="4BDA4326"/>
    <w:rsid w:val="4DB311C4"/>
    <w:rsid w:val="4E920EE8"/>
    <w:rsid w:val="503B1382"/>
    <w:rsid w:val="52F82D96"/>
    <w:rsid w:val="547B4EA9"/>
    <w:rsid w:val="550F7B55"/>
    <w:rsid w:val="55122FD8"/>
    <w:rsid w:val="55926D29"/>
    <w:rsid w:val="57572CCF"/>
    <w:rsid w:val="57641265"/>
    <w:rsid w:val="582B37FF"/>
    <w:rsid w:val="58E53EC8"/>
    <w:rsid w:val="5983774F"/>
    <w:rsid w:val="599B1268"/>
    <w:rsid w:val="59E766FB"/>
    <w:rsid w:val="5A0661DA"/>
    <w:rsid w:val="5AF2460E"/>
    <w:rsid w:val="5C3F2EED"/>
    <w:rsid w:val="5C8968EE"/>
    <w:rsid w:val="5CF62206"/>
    <w:rsid w:val="5E771DF6"/>
    <w:rsid w:val="5F1C412F"/>
    <w:rsid w:val="5F596331"/>
    <w:rsid w:val="60B151FE"/>
    <w:rsid w:val="63716633"/>
    <w:rsid w:val="64586600"/>
    <w:rsid w:val="647A6736"/>
    <w:rsid w:val="654B14AA"/>
    <w:rsid w:val="65B67155"/>
    <w:rsid w:val="67B8418F"/>
    <w:rsid w:val="6AF723A7"/>
    <w:rsid w:val="6B486391"/>
    <w:rsid w:val="6BE566A3"/>
    <w:rsid w:val="6CC45353"/>
    <w:rsid w:val="6CDE4879"/>
    <w:rsid w:val="6E1A0886"/>
    <w:rsid w:val="7016507D"/>
    <w:rsid w:val="71B0505E"/>
    <w:rsid w:val="72A566BF"/>
    <w:rsid w:val="73E35E45"/>
    <w:rsid w:val="74561EEC"/>
    <w:rsid w:val="74F80B83"/>
    <w:rsid w:val="75387844"/>
    <w:rsid w:val="76987176"/>
    <w:rsid w:val="76D50550"/>
    <w:rsid w:val="772F044F"/>
    <w:rsid w:val="77324D59"/>
    <w:rsid w:val="77BE116B"/>
    <w:rsid w:val="783A06B1"/>
    <w:rsid w:val="78435456"/>
    <w:rsid w:val="7A2272A9"/>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semiHidden/>
    <w:qFormat/>
    <w:uiPriority w:val="0"/>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annotation text"/>
    <w:basedOn w:val="1"/>
    <w:link w:val="44"/>
    <w:qFormat/>
    <w:uiPriority w:val="0"/>
    <w:pPr>
      <w:jc w:val="left"/>
    </w:pPr>
  </w:style>
  <w:style w:type="paragraph" w:styleId="8">
    <w:name w:val="Body Text"/>
    <w:basedOn w:val="1"/>
    <w:qFormat/>
    <w:uiPriority w:val="0"/>
    <w:pPr>
      <w:spacing w:after="120" w:afterLines="0" w:afterAutospacing="0"/>
    </w:pPr>
  </w:style>
  <w:style w:type="paragraph" w:styleId="9">
    <w:name w:val="Body Text Indent"/>
    <w:basedOn w:val="1"/>
    <w:semiHidden/>
    <w:unhideWhenUsed/>
    <w:qFormat/>
    <w:uiPriority w:val="0"/>
    <w:pPr>
      <w:spacing w:after="120"/>
      <w:ind w:left="420" w:leftChars="200"/>
    </w:pPr>
  </w:style>
  <w:style w:type="paragraph" w:styleId="10">
    <w:name w:val="toc 3"/>
    <w:basedOn w:val="1"/>
    <w:next w:val="1"/>
    <w:qFormat/>
    <w:uiPriority w:val="0"/>
    <w:pPr>
      <w:ind w:left="840" w:leftChars="400"/>
    </w:pPr>
  </w:style>
  <w:style w:type="paragraph" w:styleId="11">
    <w:name w:val="Plain Text"/>
    <w:basedOn w:val="1"/>
    <w:link w:val="33"/>
    <w:qFormat/>
    <w:uiPriority w:val="0"/>
    <w:rPr>
      <w:rFonts w:ascii="宋体" w:hAnsi="Courier New"/>
    </w:rPr>
  </w:style>
  <w:style w:type="paragraph" w:styleId="12">
    <w:name w:val="Date"/>
    <w:basedOn w:val="1"/>
    <w:next w:val="1"/>
    <w:link w:val="40"/>
    <w:qFormat/>
    <w:uiPriority w:val="0"/>
    <w:pPr>
      <w:ind w:left="100" w:leftChars="2500"/>
    </w:pPr>
  </w:style>
  <w:style w:type="paragraph" w:styleId="13">
    <w:name w:val="Balloon Text"/>
    <w:basedOn w:val="1"/>
    <w:link w:val="27"/>
    <w:qFormat/>
    <w:uiPriority w:val="0"/>
    <w:rPr>
      <w:sz w:val="18"/>
    </w:rPr>
  </w:style>
  <w:style w:type="paragraph" w:styleId="14">
    <w:name w:val="footer"/>
    <w:basedOn w:val="1"/>
    <w:link w:val="32"/>
    <w:qFormat/>
    <w:uiPriority w:val="0"/>
    <w:pPr>
      <w:tabs>
        <w:tab w:val="center" w:pos="4153"/>
        <w:tab w:val="right" w:pos="8306"/>
      </w:tabs>
      <w:snapToGrid w:val="0"/>
      <w:jc w:val="left"/>
    </w:pPr>
    <w:rPr>
      <w:sz w:val="18"/>
    </w:rPr>
  </w:style>
  <w:style w:type="paragraph" w:styleId="15">
    <w:name w:val="header"/>
    <w:basedOn w:val="1"/>
    <w:link w:val="3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index 1"/>
    <w:basedOn w:val="1"/>
    <w:next w:val="1"/>
    <w:qFormat/>
    <w:uiPriority w:val="0"/>
  </w:style>
  <w:style w:type="paragraph" w:styleId="19">
    <w:name w:val="Body Text First Indent"/>
    <w:basedOn w:val="8"/>
    <w:qFormat/>
    <w:uiPriority w:val="0"/>
    <w:pPr>
      <w:ind w:firstLine="420" w:firstLineChars="100"/>
    </w:pPr>
  </w:style>
  <w:style w:type="paragraph" w:styleId="20">
    <w:name w:val="Body Text First Indent 2"/>
    <w:basedOn w:val="9"/>
    <w:semiHidden/>
    <w:unhideWhenUsed/>
    <w:qFormat/>
    <w:uiPriority w:val="99"/>
    <w:pPr>
      <w:ind w:firstLine="420" w:firstLineChars="200"/>
    </w:pPr>
  </w:style>
  <w:style w:type="table" w:styleId="22">
    <w:name w:val="Table Grid"/>
    <w:basedOn w:val="21"/>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Emphasis"/>
    <w:basedOn w:val="23"/>
    <w:qFormat/>
    <w:uiPriority w:val="0"/>
    <w:rPr>
      <w:i/>
    </w:rPr>
  </w:style>
  <w:style w:type="character" w:styleId="26">
    <w:name w:val="Hyperlink"/>
    <w:basedOn w:val="23"/>
    <w:qFormat/>
    <w:uiPriority w:val="0"/>
    <w:rPr>
      <w:color w:val="0000FF"/>
      <w:u w:val="single"/>
    </w:rPr>
  </w:style>
  <w:style w:type="character" w:customStyle="1" w:styleId="27">
    <w:name w:val="批注框文本 字符"/>
    <w:link w:val="13"/>
    <w:semiHidden/>
    <w:qFormat/>
    <w:uiPriority w:val="99"/>
    <w:rPr>
      <w:sz w:val="18"/>
    </w:rPr>
  </w:style>
  <w:style w:type="paragraph" w:customStyle="1" w:styleId="28">
    <w:name w:val="正文（缩进）"/>
    <w:basedOn w:val="1"/>
    <w:qFormat/>
    <w:uiPriority w:val="0"/>
    <w:pPr>
      <w:widowControl/>
      <w:spacing w:before="156" w:after="156"/>
      <w:ind w:firstLine="480" w:firstLineChars="200"/>
      <w:jc w:val="left"/>
    </w:pPr>
    <w:rPr>
      <w:kern w:val="0"/>
      <w:sz w:val="24"/>
      <w:szCs w:val="24"/>
    </w:rPr>
  </w:style>
  <w:style w:type="paragraph" w:customStyle="1" w:styleId="29">
    <w:name w:val="xl31"/>
    <w:basedOn w:val="1"/>
    <w:qFormat/>
    <w:uiPriority w:val="0"/>
    <w:pPr>
      <w:widowControl/>
      <w:spacing w:before="100" w:beforeAutospacing="1" w:after="100" w:afterAutospacing="1"/>
      <w:jc w:val="center"/>
    </w:pPr>
    <w:rPr>
      <w:b/>
      <w:bCs/>
      <w:kern w:val="0"/>
      <w:sz w:val="28"/>
      <w:szCs w:val="28"/>
    </w:rPr>
  </w:style>
  <w:style w:type="paragraph" w:customStyle="1" w:styleId="30">
    <w:name w:val="D&amp;L"/>
    <w:basedOn w:val="15"/>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qFormat/>
    <w:uiPriority w:val="0"/>
    <w:rPr>
      <w:sz w:val="18"/>
    </w:rPr>
  </w:style>
  <w:style w:type="character" w:customStyle="1" w:styleId="32">
    <w:name w:val="页脚 字符"/>
    <w:link w:val="14"/>
    <w:qFormat/>
    <w:uiPriority w:val="99"/>
    <w:rPr>
      <w:sz w:val="18"/>
    </w:rPr>
  </w:style>
  <w:style w:type="character" w:customStyle="1" w:styleId="33">
    <w:name w:val="纯文本 字符"/>
    <w:link w:val="11"/>
    <w:qFormat/>
    <w:uiPriority w:val="0"/>
    <w:rPr>
      <w:rFonts w:ascii="宋体" w:hAnsi="Courier New"/>
    </w:rPr>
  </w:style>
  <w:style w:type="character" w:customStyle="1" w:styleId="34">
    <w:name w:val="纯文本 字符1"/>
    <w:basedOn w:val="23"/>
    <w:semiHidden/>
    <w:qFormat/>
    <w:uiPriority w:val="99"/>
    <w:rPr>
      <w:rFonts w:hAnsi="Courier New" w:cs="Courier New" w:asciiTheme="minorEastAsia"/>
      <w:szCs w:val="20"/>
    </w:rPr>
  </w:style>
  <w:style w:type="character" w:customStyle="1" w:styleId="35">
    <w:name w:val="未处理的提及1"/>
    <w:basedOn w:val="23"/>
    <w:semiHidden/>
    <w:unhideWhenUsed/>
    <w:qFormat/>
    <w:uiPriority w:val="99"/>
    <w:rPr>
      <w:color w:val="605E5C"/>
      <w:shd w:val="clear" w:color="auto" w:fill="E1DFDD"/>
    </w:rPr>
  </w:style>
  <w:style w:type="paragraph" w:styleId="36">
    <w:name w:val="List Paragraph"/>
    <w:basedOn w:val="1"/>
    <w:qFormat/>
    <w:uiPriority w:val="34"/>
    <w:pPr>
      <w:ind w:firstLine="420" w:firstLineChars="200"/>
    </w:pPr>
  </w:style>
  <w:style w:type="paragraph" w:customStyle="1" w:styleId="37">
    <w:name w:val="Char Char Char Char Char Char Char1 Char"/>
    <w:basedOn w:val="1"/>
    <w:qFormat/>
    <w:uiPriority w:val="0"/>
    <w:rPr>
      <w:rFonts w:ascii="Arial" w:hAnsi="Arial" w:eastAsia="宋体" w:cs="Arial"/>
      <w:sz w:val="24"/>
    </w:rPr>
  </w:style>
  <w:style w:type="table" w:customStyle="1" w:styleId="38">
    <w:name w:val="网格表 1 浅色1"/>
    <w:basedOn w:val="21"/>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semiHidden/>
    <w:qFormat/>
    <w:uiPriority w:val="99"/>
    <w:rPr>
      <w:rFonts w:ascii="@仿宋_GB2312" w:hAnsi="@仿宋_GB2312" w:eastAsia="@仿宋_GB2312" w:cs="@仿宋_GB2312"/>
      <w:szCs w:val="20"/>
    </w:rPr>
  </w:style>
  <w:style w:type="character" w:customStyle="1" w:styleId="40">
    <w:name w:val="日期 字符1"/>
    <w:link w:val="12"/>
    <w:qFormat/>
    <w:uiPriority w:val="0"/>
  </w:style>
  <w:style w:type="character" w:customStyle="1" w:styleId="41">
    <w:name w:val="纯文本 Char1"/>
    <w:link w:val="42"/>
    <w:qFormat/>
    <w:locked/>
    <w:uiPriority w:val="0"/>
    <w:rPr>
      <w:rFonts w:ascii="Arial" w:hAnsi="Arial" w:eastAsia="Arial"/>
      <w:kern w:val="2"/>
      <w:sz w:val="21"/>
      <w:lang w:val="en-US" w:eastAsia="zh-CN" w:bidi="ar-SA"/>
    </w:rPr>
  </w:style>
  <w:style w:type="paragraph" w:customStyle="1" w:styleId="42">
    <w:name w:val="纯文本1"/>
    <w:basedOn w:val="1"/>
    <w:link w:val="41"/>
    <w:qFormat/>
    <w:uiPriority w:val="0"/>
    <w:rPr>
      <w:rFonts w:ascii="Arial" w:hAnsi="Arial" w:eastAsia="Arial" w:cstheme="minorBidi"/>
      <w:szCs w:val="22"/>
    </w:rPr>
  </w:style>
  <w:style w:type="character" w:customStyle="1" w:styleId="43">
    <w:name w:val="批注文字 Char"/>
    <w:basedOn w:val="23"/>
    <w:semiHidden/>
    <w:qFormat/>
    <w:uiPriority w:val="99"/>
    <w:rPr>
      <w:rFonts w:ascii="@仿宋_GB2312" w:hAnsi="@仿宋_GB2312" w:eastAsia="@仿宋_GB2312" w:cs="@仿宋_GB2312"/>
      <w:szCs w:val="20"/>
    </w:rPr>
  </w:style>
  <w:style w:type="character" w:customStyle="1" w:styleId="44">
    <w:name w:val="批注文字 字符"/>
    <w:link w:val="7"/>
    <w:qFormat/>
    <w:uiPriority w:val="0"/>
  </w:style>
  <w:style w:type="character" w:customStyle="1" w:styleId="45">
    <w:name w:val="标题 1 字符"/>
    <w:link w:val="2"/>
    <w:qFormat/>
    <w:uiPriority w:val="9"/>
    <w:rPr>
      <w:b/>
      <w:kern w:val="44"/>
      <w:sz w:val="44"/>
    </w:rPr>
  </w:style>
  <w:style w:type="paragraph" w:customStyle="1" w:styleId="4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semiHidden/>
    <w:qFormat/>
    <w:uiPriority w:val="9"/>
    <w:rPr>
      <w:b/>
      <w:sz w:val="32"/>
    </w:rPr>
  </w:style>
  <w:style w:type="character" w:customStyle="1" w:styleId="48">
    <w:name w:val="fontstyle01"/>
    <w:basedOn w:val="23"/>
    <w:qFormat/>
    <w:uiPriority w:val="0"/>
    <w:rPr>
      <w:rFonts w:hint="eastAsia" w:ascii="宋体" w:hAnsi="宋体" w:eastAsia="宋体"/>
      <w:color w:val="000000"/>
      <w:sz w:val="22"/>
      <w:szCs w:val="22"/>
    </w:rPr>
  </w:style>
  <w:style w:type="character" w:customStyle="1" w:styleId="49">
    <w:name w:val="fontstyle21"/>
    <w:basedOn w:val="23"/>
    <w:qFormat/>
    <w:uiPriority w:val="0"/>
    <w:rPr>
      <w:rFonts w:hint="default" w:ascii="TimesNewRomanPSMT" w:hAnsi="TimesNewRomanPSMT"/>
      <w:color w:val="000000"/>
      <w:sz w:val="22"/>
      <w:szCs w:val="22"/>
    </w:rPr>
  </w:style>
  <w:style w:type="character" w:customStyle="1" w:styleId="50">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semiHidden/>
    <w:qFormat/>
    <w:uiPriority w:val="9"/>
    <w:rPr>
      <w:rFonts w:asciiTheme="majorHAnsi" w:hAnsiTheme="majorHAnsi" w:eastAsiaTheme="majorEastAsia" w:cstheme="majorBidi"/>
      <w:b/>
      <w:bCs/>
      <w:sz w:val="28"/>
      <w:szCs w:val="28"/>
    </w:rPr>
  </w:style>
  <w:style w:type="character" w:customStyle="1" w:styleId="52">
    <w:name w:val="标题 4 字符1"/>
    <w:link w:val="5"/>
    <w:qFormat/>
    <w:uiPriority w:val="0"/>
    <w:rPr>
      <w:rFonts w:ascii="Arial" w:hAnsi="Arial" w:eastAsia="黑体"/>
      <w:b/>
      <w:sz w:val="28"/>
    </w:rPr>
  </w:style>
  <w:style w:type="paragraph" w:customStyle="1" w:styleId="53">
    <w:name w:val="普通 (Web)"/>
    <w:basedOn w:val="1"/>
    <w:qFormat/>
    <w:uiPriority w:val="0"/>
    <w:pPr>
      <w:widowControl/>
      <w:spacing w:before="100" w:beforeAutospacing="1" w:after="100" w:afterAutospacing="1"/>
      <w:jc w:val="left"/>
    </w:pPr>
    <w:rPr>
      <w:rFonts w:cs="Times New Roman"/>
      <w:sz w:val="24"/>
      <w:szCs w:val="24"/>
    </w:rPr>
  </w:style>
  <w:style w:type="paragraph" w:customStyle="1" w:styleId="54">
    <w:name w:val="Default"/>
    <w:qFormat/>
    <w:uiPriority w:val="0"/>
    <w:pPr>
      <w:widowControl w:val="0"/>
      <w:autoSpaceDE w:val="0"/>
      <w:autoSpaceDN w:val="0"/>
      <w:adjustRightInd w:val="0"/>
    </w:pPr>
    <w:rPr>
      <w:rFonts w:ascii="..ì." w:hAnsi="Calibri" w:eastAsia="..ì."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38</Pages>
  <Words>17903</Words>
  <Characters>19319</Characters>
  <Lines>180</Lines>
  <Paragraphs>50</Paragraphs>
  <TotalTime>26</TotalTime>
  <ScaleCrop>false</ScaleCrop>
  <LinksUpToDate>false</LinksUpToDate>
  <CharactersWithSpaces>27747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WPS_1678171852</cp:lastModifiedBy>
  <cp:lastPrinted>2022-06-23T01:57:00Z</cp:lastPrinted>
  <dcterms:modified xsi:type="dcterms:W3CDTF">2024-07-16T00:01:38Z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575FDA9A486C4096A319E47CD521AA9D_13</vt:lpwstr>
  </property>
</Properties>
</file>