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44"/>
          <w:szCs w:val="44"/>
          <w:lang w:val="en-US" w:eastAsia="zh-CN"/>
        </w:rPr>
      </w:pPr>
      <w:bookmarkStart w:id="0" w:name="_Toc73894415"/>
      <w:bookmarkStart w:id="1" w:name="_Toc73950783"/>
      <w:bookmarkStart w:id="2" w:name="_Toc73951754"/>
      <w:r>
        <w:rPr>
          <w:rFonts w:hint="eastAsia" w:ascii="方正小标宋简体" w:hAnsi="方正小标宋简体" w:eastAsia="方正小标宋简体" w:cs="方正小标宋简体"/>
          <w:sz w:val="44"/>
          <w:szCs w:val="44"/>
          <w:lang w:val="en-US" w:eastAsia="zh-CN"/>
        </w:rPr>
        <w:t>关于合肥体育中心招募艺术团培训</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合作伙伴的公告</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合肥体育中心现诚寻艺术团培训合作伙伴，拟通过公开招募形式，以评审合作方案打分的形式选择合作伙伴；具体合作模式附后，请符合条件并有意向的合作商家联系我司经办人，洽谈合作事宜；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报名截止时间为截止2024年6月27日17:00前。</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商务会谈时间为2024年7月1日，将根据实际报名单位安排各家具体，请等候通知。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公司：合肥体育产业投资有限公司</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地址：合肥市习友路与潜山路交口合肥体育中心贵宾区一楼</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联系部门：全民健身部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联系电话：0551-63542478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bookmarkStart w:id="3" w:name="_GoBack"/>
      <w:bookmarkEnd w:id="3"/>
    </w:p>
    <w:p>
      <w:pPr>
        <w:spacing w:line="360" w:lineRule="auto"/>
        <w:jc w:val="center"/>
        <w:rPr>
          <w:rFonts w:hint="eastAsia" w:ascii="方正小标宋简体" w:hAnsi="方正小标宋简体" w:eastAsia="方正小标宋简体" w:cs="方正小标宋简体"/>
          <w:color w:val="262626"/>
          <w:sz w:val="44"/>
          <w:szCs w:val="44"/>
          <w:shd w:val="clear" w:color="auto" w:fill="FFFFFF"/>
        </w:rPr>
      </w:pPr>
      <w:r>
        <w:rPr>
          <w:rFonts w:hint="eastAsia" w:ascii="方正小标宋简体" w:hAnsi="方正小标宋简体" w:eastAsia="方正小标宋简体" w:cs="方正小标宋简体"/>
          <w:color w:val="262626"/>
          <w:sz w:val="44"/>
          <w:szCs w:val="44"/>
          <w:shd w:val="clear" w:color="auto" w:fill="FFFFFF"/>
        </w:rPr>
        <w:t>合肥体育中心</w:t>
      </w:r>
      <w:r>
        <w:rPr>
          <w:rFonts w:hint="eastAsia" w:ascii="方正小标宋简体" w:hAnsi="方正小标宋简体" w:eastAsia="方正小标宋简体" w:cs="方正小标宋简体"/>
          <w:color w:val="262626"/>
          <w:sz w:val="44"/>
          <w:szCs w:val="44"/>
          <w:shd w:val="clear" w:color="auto" w:fill="FFFFFF"/>
          <w:lang w:val="en-US" w:eastAsia="zh-CN"/>
        </w:rPr>
        <w:t>合体培训艺术团项目</w:t>
      </w:r>
    </w:p>
    <w:p>
      <w:pPr>
        <w:spacing w:line="360" w:lineRule="auto"/>
        <w:jc w:val="center"/>
        <w:rPr>
          <w:rFonts w:hint="eastAsia" w:ascii="方正小标宋简体" w:hAnsi="方正小标宋简体" w:eastAsia="方正小标宋简体" w:cs="方正小标宋简体"/>
          <w:color w:val="262626"/>
          <w:sz w:val="44"/>
          <w:szCs w:val="44"/>
          <w:shd w:val="clear" w:color="auto" w:fill="FFFFFF"/>
        </w:rPr>
      </w:pPr>
      <w:r>
        <w:rPr>
          <w:rFonts w:hint="eastAsia" w:ascii="方正小标宋简体" w:hAnsi="方正小标宋简体" w:eastAsia="方正小标宋简体" w:cs="方正小标宋简体"/>
          <w:color w:val="262626"/>
          <w:sz w:val="44"/>
          <w:szCs w:val="44"/>
          <w:shd w:val="clear" w:color="auto" w:fill="FFFFFF"/>
        </w:rPr>
        <w:t>合作招募方案</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一.项目名称及内容</w:t>
      </w:r>
    </w:p>
    <w:p>
      <w:pPr>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lang w:val="en-US" w:eastAsia="zh-CN" w:bidi="ar-SA"/>
        </w:rPr>
        <w:t>项目名称：合体培训艺术团项目</w:t>
      </w:r>
      <w:r>
        <w:rPr>
          <w:rFonts w:hint="eastAsia" w:ascii="仿宋_GB2312" w:hAnsi="仿宋_GB2312" w:eastAsia="仿宋_GB2312" w:cs="仿宋_GB2312"/>
          <w:sz w:val="32"/>
          <w:szCs w:val="32"/>
        </w:rPr>
        <w:t>；</w:t>
      </w:r>
    </w:p>
    <w:p>
      <w:pPr>
        <w:pStyle w:val="2"/>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2、实施场地：体育场一楼功能用房</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、项目主体单位：合肥体育产业投资有限公司</w:t>
      </w:r>
    </w:p>
    <w:p>
      <w:pPr>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二.项目服务内容及要求</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1、本次合作根据各项目点实际运营情况，指定运营场地作为艺术团训练合作项目开展场地。</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2、本次合作期限为3+1+1签订合同（即首次签订3年服务协议，期满后经考核成果合格后最长续签不超过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年，续签按照一年一签的方式）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年度经营保底收入</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万元。</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2、培训报名费统一缴纳至采购人账户，双方根据系统内财务数据按周期对营收金额进行分成。分成比例模式按照约</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的分成模式对年度经营收入进行分成。依照上述比例，合作方开具符合财务制度的发票（票面税点为6%，产生税差将由合作方自行补足）及结算申请等相关结算材料。</w:t>
      </w:r>
    </w:p>
    <w:p>
      <w:pPr>
        <w:pStyle w:val="5"/>
        <w:widowControl/>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3、因采购人已纳入校外培训机构监管平台，根据政策管理要求规范开展青少年艺术团训练，故合作方在合作期间需要配合预收费监管要求变更结算方式。</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4、合作团队必须按照双方约定的用途使用该场地，非经采购方书面同意，不得将该场地用于其他用途。</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5、合作方需要有独立法人且具有经营从事艺术教育相关工作经验，稳定的授课教师队伍，提供本地化服务。</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合作期间，合作团队需对培训过程以及培训场地内学员安全负责，设立安全专员并对外公示配合采购人开展园区的安全管理工作。合作团队须为参加培训的学员投保意外险。经营期间自行保管好设备、货品、现金、场地训练器材等全部财产；如因合作团队教学不当以及现场管理失职导致发生人身安全或财产损失的，由合作团队承担全部责任，与采购方无涉。如因合作方教学不当或失职造成该项目停运并对场馆日常经营带来负面影响，则需承担相应责任。</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6、合作期间，采购方只提供现有的装修、附属设施（具体现场情况请各合作团队自行踏勘现场），合作方因经营需要的设备设施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能耗</w:t>
      </w:r>
      <w:r>
        <w:rPr>
          <w:rFonts w:hint="eastAsia" w:ascii="仿宋_GB2312" w:hAnsi="仿宋_GB2312" w:eastAsia="仿宋_GB2312" w:cs="仿宋_GB2312"/>
          <w:sz w:val="32"/>
          <w:szCs w:val="32"/>
        </w:rPr>
        <w:t>投入等，均自行负责。合作期内场地若进行培训使用的固定器材安装需将方案提前报至我司审核通过后方可进行。</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7、运营要求：</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①配合采购人每年完成有项目特色的公益/学员培训群体活动二场。</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②配合采购人完成政府指令性惠民项目，</w:t>
      </w:r>
      <w:r>
        <w:rPr>
          <w:rFonts w:hint="eastAsia" w:ascii="仿宋_GB2312" w:hAnsi="仿宋_GB2312" w:eastAsia="仿宋_GB2312" w:cs="仿宋_GB2312"/>
          <w:sz w:val="32"/>
          <w:szCs w:val="32"/>
          <w:lang w:val="en-US" w:eastAsia="zh-CN"/>
        </w:rPr>
        <w:t>社区公益课堂，</w:t>
      </w:r>
      <w:r>
        <w:rPr>
          <w:rFonts w:hint="eastAsia" w:ascii="仿宋_GB2312" w:hAnsi="仿宋_GB2312" w:eastAsia="仿宋_GB2312" w:cs="仿宋_GB2312"/>
          <w:sz w:val="32"/>
          <w:szCs w:val="32"/>
        </w:rPr>
        <w:t>普惠类校园延时服务拓展工作，服务范围以及内容根据双方协商决定。</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③每年以“合体培训”品牌至少参加一场青少年市级以上体育赛事的举办作为招生宣传并提供相应赛事材料作为备档。</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④每年参与举办青少年艺术嘉年华赛事活动，并参与保障整体活动圆满开展。</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④在运营期间，设立专人专岗作为投诉处理专员做好客户售后服务，客户满意度不低于98%。</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⑤按周期配合采购人对教练人员档案进行更新梳理，做好资料备档。</w:t>
      </w:r>
    </w:p>
    <w:p>
      <w:pPr>
        <w:pStyle w:val="2"/>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⑥艺术团训练场地如作为专属培训场地/时段使用，需自行对场地区域进行秩序维护、隔断，防止培训安全意外发生。</w:t>
      </w:r>
    </w:p>
    <w:p>
      <w:pPr>
        <w:pStyle w:val="2"/>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9、凡遇大型活动和大型赛事，必须无条件予以配合，采购方、公安部门及承办单位的统一安排和指挥，实际延误情况按照当年占场情况予以统一调整。</w:t>
      </w:r>
    </w:p>
    <w:p>
      <w:pPr>
        <w:pStyle w:val="2"/>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10、合作期间，所有课程均不得超期销售。如因超期课程销售导致的退费或财产纠纷等均由合作团队自行负责，与采购方无关。如采购人被第三方追偿的，采购方有权就追偿部分要求合作方承担。</w:t>
      </w:r>
    </w:p>
    <w:p>
      <w:pPr>
        <w:pStyle w:val="2"/>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11、配合采购人做好相关艺术课程开发，课程拓展工作。在合作期间实现至少一项研学产品开发以及合体艺术团组建、剧目排演。</w:t>
      </w:r>
    </w:p>
    <w:p>
      <w:pPr>
        <w:spacing w:line="360" w:lineRule="auto"/>
        <w:ind w:firstLine="643" w:firstLineChars="200"/>
        <w:rPr>
          <w:rFonts w:ascii="宋体" w:hAnsi="宋体"/>
          <w:b/>
          <w:sz w:val="32"/>
          <w:szCs w:val="32"/>
        </w:rPr>
      </w:pPr>
      <w:r>
        <w:rPr>
          <w:rFonts w:hint="eastAsia" w:ascii="宋体" w:hAnsi="宋体"/>
          <w:b/>
          <w:sz w:val="32"/>
          <w:szCs w:val="32"/>
        </w:rPr>
        <w:t>三、合作方评审标准及打分项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就合作方项目运营实力，赛事组织能力以及团队成员稳定等几大要素形成打分标准如下。</w:t>
      </w:r>
    </w:p>
    <w:bookmarkEnd w:id="0"/>
    <w:bookmarkEnd w:id="1"/>
    <w:bookmarkEnd w:id="2"/>
    <w:p>
      <w:pPr>
        <w:spacing w:line="360" w:lineRule="auto"/>
        <w:ind w:firstLine="482" w:firstLineChars="200"/>
        <w:rPr>
          <w:rFonts w:ascii="宋体" w:hAnsi="宋体" w:cs="Arial"/>
          <w:b/>
          <w:sz w:val="24"/>
        </w:rPr>
      </w:pPr>
      <w:r>
        <w:rPr>
          <w:rFonts w:hint="eastAsia" w:ascii="宋体" w:hAnsi="宋体" w:cs="Arial"/>
          <w:b/>
          <w:sz w:val="24"/>
        </w:rPr>
        <w:t>一</w:t>
      </w:r>
      <w:r>
        <w:rPr>
          <w:rFonts w:ascii="宋体" w:hAnsi="宋体" w:cs="Arial"/>
          <w:b/>
          <w:sz w:val="24"/>
        </w:rPr>
        <w:t>、</w:t>
      </w:r>
      <w:r>
        <w:rPr>
          <w:rFonts w:hint="eastAsia" w:ascii="宋体" w:hAnsi="宋体" w:cs="Arial"/>
          <w:b/>
          <w:sz w:val="24"/>
        </w:rPr>
        <w:t>评标</w:t>
      </w:r>
      <w:r>
        <w:rPr>
          <w:rFonts w:ascii="宋体" w:hAnsi="宋体" w:cs="Arial"/>
          <w:b/>
          <w:sz w:val="24"/>
        </w:rPr>
        <w:t>内容及</w:t>
      </w:r>
      <w:r>
        <w:rPr>
          <w:rFonts w:hint="eastAsia" w:ascii="宋体" w:hAnsi="宋体" w:cs="Arial"/>
          <w:b/>
          <w:sz w:val="24"/>
        </w:rPr>
        <w:t>标准</w:t>
      </w:r>
    </w:p>
    <w:tbl>
      <w:tblPr>
        <w:tblStyle w:val="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6461"/>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评定项目</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评分细则</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1271"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center"/>
              <w:rPr>
                <w:rFonts w:cs="仿宋" w:asciiTheme="minorEastAsia" w:hAnsiTheme="minorEastAsia" w:eastAsiaTheme="minorEastAsia"/>
                <w:sz w:val="24"/>
              </w:rPr>
            </w:pPr>
          </w:p>
          <w:p>
            <w:pPr>
              <w:spacing w:line="360" w:lineRule="auto"/>
              <w:jc w:val="center"/>
              <w:rPr>
                <w:rFonts w:cs="仿宋" w:asciiTheme="minorEastAsia" w:hAnsiTheme="minorEastAsia" w:eastAsiaTheme="minorEastAsia"/>
                <w:sz w:val="24"/>
              </w:rPr>
            </w:pPr>
          </w:p>
          <w:p>
            <w:pPr>
              <w:spacing w:line="360" w:lineRule="auto"/>
              <w:jc w:val="center"/>
              <w:rPr>
                <w:rFonts w:cs="仿宋" w:asciiTheme="minorEastAsia" w:hAnsiTheme="minorEastAsia" w:eastAsiaTheme="minorEastAsia"/>
                <w:sz w:val="24"/>
              </w:rPr>
            </w:pPr>
          </w:p>
          <w:p>
            <w:pPr>
              <w:spacing w:line="360" w:lineRule="auto"/>
              <w:jc w:val="center"/>
              <w:rPr>
                <w:rFonts w:cs="仿宋" w:asciiTheme="minorEastAsia" w:hAnsiTheme="minorEastAsia" w:eastAsiaTheme="minorEastAsia"/>
                <w:sz w:val="24"/>
              </w:rPr>
            </w:pPr>
          </w:p>
          <w:p>
            <w:pPr>
              <w:spacing w:line="360" w:lineRule="auto"/>
              <w:jc w:val="center"/>
              <w:rPr>
                <w:rFonts w:cs="仿宋" w:asciiTheme="minorEastAsia" w:hAnsiTheme="minorEastAsia" w:eastAsiaTheme="minorEastAsia"/>
                <w:sz w:val="24"/>
              </w:rPr>
            </w:pPr>
          </w:p>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经营业绩以及合作团队实力</w:t>
            </w:r>
          </w:p>
          <w:p>
            <w:pPr>
              <w:spacing w:line="360" w:lineRule="auto"/>
              <w:jc w:val="center"/>
              <w:rPr>
                <w:rFonts w:asciiTheme="minorEastAsia" w:hAnsiTheme="minorEastAsia" w:eastAsiaTheme="minorEastAsia"/>
                <w:sz w:val="24"/>
              </w:rPr>
            </w:pPr>
            <w:r>
              <w:rPr>
                <w:rFonts w:hint="eastAsia" w:cs="仿宋" w:asciiTheme="minorEastAsia" w:hAnsiTheme="minorEastAsia" w:eastAsiaTheme="minorEastAsia"/>
                <w:sz w:val="24"/>
              </w:rPr>
              <w:t>（</w:t>
            </w:r>
            <w:r>
              <w:rPr>
                <w:rFonts w:hint="eastAsia" w:cs="仿宋" w:asciiTheme="minorEastAsia" w:hAnsiTheme="minorEastAsia" w:eastAsiaTheme="minorEastAsia"/>
                <w:sz w:val="24"/>
                <w:lang w:val="en-US" w:eastAsia="zh-CN"/>
              </w:rPr>
              <w:t>60</w:t>
            </w:r>
            <w:r>
              <w:rPr>
                <w:rFonts w:hint="eastAsia" w:cs="仿宋" w:asciiTheme="minorEastAsia" w:hAnsiTheme="minorEastAsia" w:eastAsiaTheme="minorEastAsia"/>
                <w:sz w:val="24"/>
              </w:rPr>
              <w:t>分）</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项目培训方案</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项目培训工作开展方案：包含但不限于项目课程设计方案、培训开展安全预案以及应急处理、项目课程收费方案预设以及现有项目已现存学员的处理方案等。此项根据方案合理性给予评定打分，优秀得20-15分；良好得14-10分；一般得9-0分此小项共计20分。</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cs="仿宋"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kern w:val="0"/>
                <w:sz w:val="24"/>
              </w:rPr>
            </w:pPr>
            <w:r>
              <w:rPr>
                <w:rFonts w:hint="eastAsia" w:asciiTheme="minorEastAsia" w:hAnsiTheme="minorEastAsia" w:eastAsiaTheme="minorEastAsia"/>
                <w:kern w:val="0"/>
                <w:sz w:val="24"/>
              </w:rPr>
              <w:t>衍生赛事执行组织经验</w:t>
            </w:r>
          </w:p>
        </w:tc>
        <w:tc>
          <w:tcPr>
            <w:tcW w:w="6461"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合作团队就培项目学员赛事衍生活动设计方案进行阐述，对培训开展期间学员竞赛活动进行科学的有计划开展，以赛事活动的开展对培训业务发展进行辅助。此项根据赛事衍生方案的合理性，执行团队曾获荣誉以及执行水平进行综合评定。</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此项共计10分，优秀得10-8分；良好得5-7分；一般得5-0分。</w:t>
            </w:r>
          </w:p>
          <w:p>
            <w:pPr>
              <w:spacing w:line="360" w:lineRule="auto"/>
              <w:rPr>
                <w:rFonts w:cs="仿宋" w:asciiTheme="minorEastAsia" w:hAnsiTheme="minorEastAsia" w:eastAsiaTheme="minorEastAsia"/>
                <w:sz w:val="24"/>
              </w:rPr>
            </w:pP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2、国际性组织参赛经验。</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学员参加</w:t>
            </w:r>
            <w:r>
              <w:rPr>
                <w:rFonts w:hint="eastAsia" w:cs="仿宋" w:asciiTheme="minorEastAsia" w:hAnsiTheme="minorEastAsia" w:eastAsiaTheme="minorEastAsia"/>
                <w:sz w:val="24"/>
                <w:lang w:val="en-US" w:eastAsia="zh-CN"/>
              </w:rPr>
              <w:t>国际性</w:t>
            </w:r>
            <w:r>
              <w:rPr>
                <w:rFonts w:hint="eastAsia" w:cs="仿宋" w:asciiTheme="minorEastAsia" w:hAnsiTheme="minorEastAsia" w:eastAsiaTheme="minorEastAsia"/>
                <w:sz w:val="24"/>
              </w:rPr>
              <w:t>赛事业绩1场（备注：系列赛事含多场单场赛事的算作一场），得5分；</w:t>
            </w:r>
          </w:p>
          <w:p>
            <w:pPr>
              <w:numPr>
                <w:ilvl w:val="0"/>
                <w:numId w:val="0"/>
              </w:num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国家级</w:t>
            </w:r>
            <w:r>
              <w:rPr>
                <w:rFonts w:hint="eastAsia" w:cs="仿宋" w:asciiTheme="minorEastAsia" w:hAnsiTheme="minorEastAsia" w:eastAsiaTheme="minorEastAsia"/>
                <w:sz w:val="24"/>
              </w:rPr>
              <w:t>级赛事业绩1场，得3分；</w:t>
            </w:r>
          </w:p>
          <w:p>
            <w:pPr>
              <w:numPr>
                <w:ilvl w:val="0"/>
                <w:numId w:val="0"/>
              </w:num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省、</w:t>
            </w:r>
            <w:r>
              <w:rPr>
                <w:rFonts w:hint="eastAsia" w:cs="仿宋" w:asciiTheme="minorEastAsia" w:hAnsiTheme="minorEastAsia" w:eastAsiaTheme="minorEastAsia"/>
                <w:sz w:val="24"/>
              </w:rPr>
              <w:t>市级以及俱乐部邀请赛1场业绩，得1分。</w:t>
            </w:r>
          </w:p>
          <w:p>
            <w:pPr>
              <w:numPr>
                <w:ilvl w:val="0"/>
                <w:numId w:val="0"/>
              </w:num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本小项上限10分。</w:t>
            </w:r>
          </w:p>
          <w:p>
            <w:pPr>
              <w:numPr>
                <w:ilvl w:val="0"/>
                <w:numId w:val="0"/>
              </w:num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注：省市级赛事承办的秩序册或上级赛事主管部门盖章批文、赛事举办媒体宣传内容截图作为承办业绩材料。如学员代表学校出赛，可出示相关证明。</w:t>
            </w:r>
          </w:p>
          <w:p>
            <w:pPr>
              <w:spacing w:line="360" w:lineRule="auto"/>
              <w:rPr>
                <w:rFonts w:cs="仿宋" w:asciiTheme="minorEastAsia" w:hAnsiTheme="minorEastAsia" w:eastAsiaTheme="minorEastAsia"/>
                <w:sz w:val="24"/>
              </w:rPr>
            </w:pP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4"/>
              </w:rPr>
            </w:pPr>
            <w:r>
              <w:rPr>
                <w:rFonts w:hint="eastAsia" w:asciiTheme="minorEastAsia" w:hAnsiTheme="minorEastAsia" w:eastAsiaTheme="minorEastAsia"/>
                <w:sz w:val="24"/>
                <w:lang w:val="en-US" w:eastAsia="zh-CN"/>
              </w:rPr>
              <w:t>师资</w:t>
            </w:r>
            <w:r>
              <w:rPr>
                <w:rFonts w:hint="eastAsia" w:asciiTheme="minorEastAsia" w:hAnsiTheme="minorEastAsia" w:eastAsiaTheme="minorEastAsia"/>
                <w:sz w:val="24"/>
              </w:rPr>
              <w:t>配备</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教练员配备</w:t>
            </w:r>
            <w:r>
              <w:rPr>
                <w:rFonts w:hint="eastAsia" w:cs="仿宋" w:asciiTheme="minorEastAsia" w:hAnsiTheme="minorEastAsia" w:eastAsiaTheme="minorEastAsia"/>
                <w:sz w:val="24"/>
              </w:rPr>
              <w:tab/>
            </w:r>
            <w:r>
              <w:rPr>
                <w:rFonts w:hint="eastAsia" w:cs="仿宋" w:asciiTheme="minorEastAsia" w:hAnsiTheme="minorEastAsia" w:eastAsiaTheme="minorEastAsia"/>
                <w:sz w:val="24"/>
              </w:rPr>
              <w:t>合作团队拟投入本项目的教师、教学顾问等进行综合评定：</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1、教师团队规模。</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合作团队成员8人及以上，得10分；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教师人数为5≤人数≤7，得5分；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教务人数为1≤人数≤4，得1分。</w:t>
            </w:r>
          </w:p>
          <w:p>
            <w:pPr>
              <w:spacing w:line="360" w:lineRule="auto"/>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rPr>
              <w:t>注：常驻教师有劳务协议</w:t>
            </w:r>
            <w:r>
              <w:rPr>
                <w:rFonts w:hint="eastAsia" w:cs="仿宋" w:asciiTheme="minorEastAsia" w:hAnsiTheme="minorEastAsia" w:eastAsiaTheme="minorEastAsia"/>
                <w:sz w:val="24"/>
                <w:lang w:eastAsia="zh-CN"/>
              </w:rPr>
              <w:t>。</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2、教师资质水平。</w:t>
            </w:r>
          </w:p>
          <w:p>
            <w:pPr>
              <w:spacing w:line="360" w:lineRule="auto"/>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教师团队需持有教师资格证</w:t>
            </w:r>
          </w:p>
          <w:p>
            <w:pPr>
              <w:spacing w:line="360" w:lineRule="auto"/>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有艺术专家证等双资质证书，每一名得1分；</w:t>
            </w:r>
          </w:p>
          <w:p>
            <w:pPr>
              <w:spacing w:line="360" w:lineRule="auto"/>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有艺术特殊荣誉或特殊贡献奖励的，每一名得2分。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本小项满分10分。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注：以上人员需提供相关资质证书的复印件以及1年以上社保缴纳记录证明或员工薪资流水发放记录。</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20</w:t>
            </w:r>
            <w:r>
              <w:rPr>
                <w:rFonts w:hint="eastAsia" w:cs="仿宋"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1" w:type="dxa"/>
            <w:vMerge w:val="restart"/>
            <w:tcBorders>
              <w:top w:val="single" w:color="000000" w:sz="4" w:space="0"/>
              <w:left w:val="single" w:color="000000" w:sz="4" w:space="0"/>
              <w:right w:val="single" w:color="000000"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合作团队运营经验（3</w:t>
            </w:r>
            <w:r>
              <w:rPr>
                <w:rFonts w:hint="eastAsia" w:asciiTheme="minorEastAsia" w:hAnsiTheme="minorEastAsia" w:eastAsiaTheme="minorEastAsia"/>
                <w:sz w:val="24"/>
                <w:lang w:val="en-US" w:eastAsia="zh-CN"/>
              </w:rPr>
              <w:t>0</w:t>
            </w:r>
            <w:r>
              <w:rPr>
                <w:rFonts w:hint="eastAsia" w:asciiTheme="minorEastAsia" w:hAnsiTheme="minorEastAsia" w:eastAsiaTheme="minorEastAsia"/>
                <w:sz w:val="24"/>
              </w:rPr>
              <w:t>分）</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合作团队</w:t>
            </w:r>
            <w:r>
              <w:rPr>
                <w:rFonts w:hint="eastAsia" w:asciiTheme="minorEastAsia" w:hAnsiTheme="minorEastAsia" w:eastAsiaTheme="minorEastAsia"/>
                <w:sz w:val="24"/>
                <w:lang w:val="en-US" w:eastAsia="zh-CN"/>
              </w:rPr>
              <w:t>培训荣誉</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1、</w:t>
            </w:r>
            <w:r>
              <w:rPr>
                <w:rFonts w:hint="eastAsia" w:cs="仿宋" w:asciiTheme="minorEastAsia" w:hAnsiTheme="minorEastAsia" w:eastAsiaTheme="minorEastAsia"/>
                <w:sz w:val="24"/>
              </w:rPr>
              <w:t>合作团队</w:t>
            </w:r>
            <w:r>
              <w:rPr>
                <w:rFonts w:hint="eastAsia" w:cs="仿宋" w:asciiTheme="minorEastAsia" w:hAnsiTheme="minorEastAsia" w:eastAsiaTheme="minorEastAsia"/>
                <w:sz w:val="24"/>
                <w:lang w:val="en-US" w:eastAsia="zh-CN"/>
              </w:rPr>
              <w:t>培养学员参演或获得荣誉成果业绩：</w:t>
            </w:r>
          </w:p>
          <w:p>
            <w:pPr>
              <w:spacing w:line="360" w:lineRule="auto"/>
              <w:rPr>
                <w:rFonts w:hint="eastAsia"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省市区级艺术竞赛，国家级、国际级艺术表演经验的，提供学员参训证明及获得荣誉证书/证明。</w:t>
            </w:r>
          </w:p>
          <w:p>
            <w:pPr>
              <w:spacing w:line="360" w:lineRule="auto"/>
              <w:rPr>
                <w:rFonts w:hint="default" w:cs="仿宋" w:asciiTheme="minorEastAsia" w:hAnsiTheme="minorEastAsia" w:eastAsiaTheme="minorEastAsia"/>
                <w:sz w:val="24"/>
                <w:lang w:val="en-US" w:eastAsia="zh-CN"/>
              </w:rPr>
            </w:pPr>
            <w:r>
              <w:rPr>
                <w:rFonts w:hint="eastAsia" w:cs="仿宋" w:asciiTheme="minorEastAsia" w:hAnsiTheme="minorEastAsia" w:eastAsiaTheme="minorEastAsia"/>
                <w:sz w:val="24"/>
                <w:lang w:val="en-US" w:eastAsia="zh-CN"/>
              </w:rPr>
              <w:t>每一个获奖业绩得3分，此项满分12分。</w:t>
            </w:r>
          </w:p>
          <w:p>
            <w:pPr>
              <w:spacing w:line="360" w:lineRule="auto"/>
              <w:rPr>
                <w:rFonts w:hint="eastAsia" w:cs="仿宋" w:asciiTheme="minorEastAsia" w:hAnsiTheme="minorEastAsia" w:eastAsiaTheme="minorEastAsia"/>
                <w:sz w:val="24"/>
                <w:lang w:val="en-US" w:eastAsia="zh-CN"/>
              </w:rPr>
            </w:pP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2、</w:t>
            </w:r>
            <w:r>
              <w:rPr>
                <w:rFonts w:hint="eastAsia" w:cs="仿宋" w:asciiTheme="minorEastAsia" w:hAnsiTheme="minorEastAsia" w:eastAsiaTheme="minorEastAsia"/>
                <w:sz w:val="24"/>
              </w:rPr>
              <w:t>参加合肥市内小学课后三点半服务，幼儿园课后延时班服务经验业绩，得</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分，满分</w:t>
            </w:r>
            <w:r>
              <w:rPr>
                <w:rFonts w:hint="eastAsia" w:cs="仿宋" w:asciiTheme="minorEastAsia" w:hAnsiTheme="minorEastAsia" w:eastAsiaTheme="minorEastAsia"/>
                <w:sz w:val="24"/>
                <w:lang w:val="en-US" w:eastAsia="zh-CN"/>
              </w:rPr>
              <w:t>12</w:t>
            </w:r>
            <w:r>
              <w:rPr>
                <w:rFonts w:hint="eastAsia" w:cs="仿宋" w:asciiTheme="minorEastAsia" w:hAnsiTheme="minorEastAsia" w:eastAsiaTheme="minorEastAsia"/>
                <w:sz w:val="24"/>
              </w:rPr>
              <w:t>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注：以校企协议/课后三点半系统报名情况作为有效业绩材料，每个年度同一所学校的可做两份业绩。</w:t>
            </w:r>
            <w:r>
              <w:rPr>
                <w:rFonts w:hint="eastAsia" w:cs="仿宋" w:asciiTheme="minorEastAsia" w:hAnsiTheme="minorEastAsia" w:eastAsiaTheme="minorEastAsia"/>
                <w:sz w:val="24"/>
              </w:rPr>
              <w:tab/>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2</w:t>
            </w:r>
            <w:r>
              <w:rPr>
                <w:rFonts w:hint="eastAsia" w:cs="仿宋" w:asciiTheme="minorEastAsia" w:hAnsiTheme="minorEastAsia" w:eastAsiaTheme="minorEastAsia"/>
                <w:sz w:val="24"/>
                <w:lang w:val="en-US" w:eastAsia="zh-CN"/>
              </w:rPr>
              <w:t>4</w:t>
            </w:r>
            <w:r>
              <w:rPr>
                <w:rFonts w:hint="eastAsia" w:cs="仿宋"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1" w:type="dxa"/>
            <w:vMerge w:val="continue"/>
            <w:tcBorders>
              <w:left w:val="single" w:color="000000" w:sz="4" w:space="0"/>
              <w:right w:val="single" w:color="000000" w:sz="4" w:space="0"/>
            </w:tcBorders>
            <w:vAlign w:val="center"/>
          </w:tcPr>
          <w:p>
            <w:pPr>
              <w:spacing w:line="360" w:lineRule="auto"/>
              <w:rPr>
                <w:rFonts w:asciiTheme="minorEastAsia" w:hAnsiTheme="minorEastAsia" w:eastAsiaTheme="minorEastAsia"/>
                <w:sz w:val="24"/>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合作团队俱乐部市场性运作经验</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自2020年来，合作团队所运营俱乐部运营良性循环，财务状况以及企业征信状态正常，无不良记录以及套牌、空壳运营情况。此项得分</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注：以公司近三年公司财务报表作为公司运营业绩凭证。</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1" w:type="dxa"/>
            <w:tcBorders>
              <w:left w:val="single" w:color="000000" w:sz="4" w:space="0"/>
              <w:bottom w:val="single" w:color="000000" w:sz="4" w:space="0"/>
              <w:right w:val="single" w:color="000000"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合作分成（10分）</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合作分成模式</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在满足年经营保底收入的同时，收入分成按照以下方案则根据方案得分。</w:t>
            </w:r>
          </w:p>
          <w:p>
            <w:pPr>
              <w:spacing w:line="360" w:lineRule="auto"/>
              <w:rPr>
                <w:rFonts w:hint="eastAsia" w:cs="仿宋" w:asciiTheme="minorEastAsia" w:hAnsiTheme="minorEastAsia" w:eastAsiaTheme="minorEastAsia"/>
                <w:sz w:val="24"/>
              </w:rPr>
            </w:pPr>
            <w:r>
              <w:rPr>
                <w:rFonts w:hint="eastAsia" w:cs="仿宋" w:asciiTheme="minorEastAsia" w:hAnsiTheme="minorEastAsia" w:eastAsiaTheme="minorEastAsia"/>
                <w:sz w:val="24"/>
              </w:rPr>
              <w:t>方案一：合作经营期间按照采购人</w:t>
            </w:r>
            <w:r>
              <w:rPr>
                <w:rFonts w:hint="eastAsia" w:cs="仿宋" w:asciiTheme="minorEastAsia" w:hAnsiTheme="minorEastAsia" w:eastAsiaTheme="minorEastAsia"/>
                <w:sz w:val="24"/>
                <w:lang w:val="en-US" w:eastAsia="zh-CN"/>
              </w:rPr>
              <w:t>3</w:t>
            </w:r>
            <w:r>
              <w:rPr>
                <w:rFonts w:hint="eastAsia" w:cs="仿宋" w:asciiTheme="minorEastAsia" w:hAnsiTheme="minorEastAsia" w:eastAsiaTheme="minorEastAsia"/>
                <w:sz w:val="24"/>
              </w:rPr>
              <w:t>0%、合作方</w:t>
            </w:r>
            <w:r>
              <w:rPr>
                <w:rFonts w:hint="eastAsia" w:cs="仿宋" w:asciiTheme="minorEastAsia" w:hAnsiTheme="minorEastAsia" w:eastAsiaTheme="minorEastAsia"/>
                <w:sz w:val="24"/>
                <w:lang w:val="en-US" w:eastAsia="zh-CN"/>
              </w:rPr>
              <w:t>7</w:t>
            </w:r>
            <w:r>
              <w:rPr>
                <w:rFonts w:hint="eastAsia" w:cs="仿宋" w:asciiTheme="minorEastAsia" w:hAnsiTheme="minorEastAsia" w:eastAsiaTheme="minorEastAsia"/>
                <w:sz w:val="24"/>
              </w:rPr>
              <w:t>0%的比例进行经营额分成；</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选择此方案，得</w:t>
            </w:r>
            <w:r>
              <w:rPr>
                <w:rFonts w:hint="eastAsia" w:cs="仿宋" w:asciiTheme="minorEastAsia" w:hAnsiTheme="minorEastAsia" w:eastAsiaTheme="minorEastAsia"/>
                <w:sz w:val="24"/>
                <w:lang w:val="en-US" w:eastAsia="zh-CN"/>
              </w:rPr>
              <w:t>6</w:t>
            </w:r>
            <w:r>
              <w:rPr>
                <w:rFonts w:hint="eastAsia" w:cs="仿宋" w:asciiTheme="minorEastAsia" w:hAnsiTheme="minorEastAsia" w:eastAsiaTheme="minorEastAsia"/>
                <w:sz w:val="24"/>
              </w:rPr>
              <w:t>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方案</w:t>
            </w:r>
            <w:r>
              <w:rPr>
                <w:rFonts w:hint="eastAsia" w:cs="仿宋" w:asciiTheme="minorEastAsia" w:hAnsiTheme="minorEastAsia" w:eastAsiaTheme="minorEastAsia"/>
                <w:sz w:val="24"/>
                <w:lang w:val="en-US" w:eastAsia="zh-CN"/>
              </w:rPr>
              <w:t>二</w:t>
            </w:r>
            <w:r>
              <w:rPr>
                <w:rFonts w:hint="eastAsia" w:cs="仿宋" w:asciiTheme="minorEastAsia" w:hAnsiTheme="minorEastAsia" w:eastAsiaTheme="minorEastAsia"/>
                <w:sz w:val="24"/>
              </w:rPr>
              <w:t>：合作经营前三年，采购人按照30%、合作方70%的比例进行经营额分成；后三年采购人按照40%、合作方60%的比例进行经营额分成，得10分。</w:t>
            </w:r>
          </w:p>
          <w:p>
            <w:pPr>
              <w:spacing w:line="360" w:lineRule="auto"/>
              <w:rPr>
                <w:rFonts w:cs="仿宋" w:asciiTheme="minorEastAsia" w:hAnsiTheme="minorEastAsia" w:eastAsiaTheme="minorEastAsia"/>
                <w:sz w:val="24"/>
              </w:rPr>
            </w:pPr>
            <w:r>
              <w:rPr>
                <w:rFonts w:hint="eastAsia" w:cs="仿宋" w:asciiTheme="minorEastAsia" w:hAnsiTheme="minorEastAsia" w:eastAsiaTheme="minorEastAsia"/>
                <w:sz w:val="24"/>
              </w:rPr>
              <w:t>*以上年度按照自然年进行计算。</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4"/>
              </w:rPr>
            </w:pPr>
            <w:r>
              <w:rPr>
                <w:rFonts w:hint="eastAsia" w:cs="仿宋" w:asciiTheme="minorEastAsia" w:hAnsiTheme="minorEastAsia" w:eastAsiaTheme="minorEastAsia"/>
                <w:sz w:val="24"/>
              </w:rPr>
              <w:t>10分</w:t>
            </w:r>
          </w:p>
        </w:tc>
      </w:tr>
    </w:tbl>
    <w:p>
      <w:pPr>
        <w:widowControl/>
        <w:spacing w:line="360" w:lineRule="auto"/>
        <w:jc w:val="lef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FF04C"/>
    <w:multiLevelType w:val="singleLevel"/>
    <w:tmpl w:val="ACDFF0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DBjNzZmODk4N2IxZmVjZmY4NmI5ZDZhYzY1NzQifQ=="/>
  </w:docVars>
  <w:rsids>
    <w:rsidRoot w:val="4D41646A"/>
    <w:rsid w:val="0281282A"/>
    <w:rsid w:val="0A1D7CF6"/>
    <w:rsid w:val="110C2E41"/>
    <w:rsid w:val="19102702"/>
    <w:rsid w:val="31ED5E7D"/>
    <w:rsid w:val="32BD2B5B"/>
    <w:rsid w:val="495B4329"/>
    <w:rsid w:val="4D41646A"/>
    <w:rsid w:val="52ED0DE3"/>
    <w:rsid w:val="5BD4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customStyle="1" w:styleId="5">
    <w:name w:val="UserStyle_3"/>
    <w:basedOn w:val="1"/>
    <w:autoRedefine/>
    <w:qFormat/>
    <w:uiPriority w:val="0"/>
    <w:pPr>
      <w:ind w:firstLine="420" w:firstLineChars="200"/>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2513</Words>
  <Characters>2572</Characters>
  <Lines>0</Lines>
  <Paragraphs>0</Paragraphs>
  <TotalTime>0</TotalTime>
  <ScaleCrop>false</ScaleCrop>
  <LinksUpToDate>false</LinksUpToDate>
  <CharactersWithSpaces>2574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2024-06-25T08:11:00Z</dcterms:created>
  <dc:creator>荼白</dc:creator>
  <cp:lastModifiedBy>液诱境炊送</cp:lastModifiedBy>
  <dcterms:modified xsi:type="dcterms:W3CDTF">2024-06-26T06:15:34Z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CCD6F5F8D8EC47C685E6AF895AE9B742_13</vt:lpwstr>
  </property>
</Properties>
</file>