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p/>
    <w:p>
      <w:pPr>
        <w:jc w:val="center"/>
      </w:pPr>
    </w:p>
    <w:bookmarkEnd w:id="0"/>
    <w:p>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r>
        <w:rPr>
          <w:rFonts w:hint="eastAsia"/>
          <w:lang w:eastAsia="zh-CN"/>
        </w:rPr>
        <w:drawing>
          <wp:anchor distT="0" distB="0" distL="114300" distR="114300" simplePos="0" relativeHeight="251659264" behindDoc="0" locked="0" layoutInCell="1" allowOverlap="1">
            <wp:simplePos x="0" y="0"/>
            <wp:positionH relativeFrom="column">
              <wp:posOffset>2340610</wp:posOffset>
            </wp:positionH>
            <wp:positionV relativeFrom="paragraph">
              <wp:posOffset>247650</wp:posOffset>
            </wp:positionV>
            <wp:extent cx="838200" cy="1200150"/>
            <wp:effectExtent l="0" t="0" r="0" b="0"/>
            <wp:wrapNone/>
            <wp:docPr id="2" name="图片 1" descr="微信图片_2023121911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1219115251"/>
                    <pic:cNvPicPr>
                      <a:picLocks noChangeAspect="1"/>
                    </pic:cNvPicPr>
                  </pic:nvPicPr>
                  <pic:blipFill>
                    <a:blip r:embed="rId8"/>
                    <a:stretch>
                      <a:fillRect/>
                    </a:stretch>
                  </pic:blipFill>
                  <pic:spPr>
                    <a:xfrm>
                      <a:off x="0" y="0"/>
                      <a:ext cx="838200" cy="1200150"/>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0"/>
          <w:szCs w:val="30"/>
          <w:lang w:val="en-US" w:eastAsia="zh-CN"/>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lang w:val="en-US" w:eastAsia="zh-CN"/>
        </w:rPr>
        <w:t>安徽同稻餐饮管理有限公司软饮类采购</w:t>
      </w: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asciiTheme="majorEastAsia" w:hAnsiTheme="majorEastAsia" w:eastAsiaTheme="majorEastAsia" w:cstheme="majorEastAsia"/>
          <w:b/>
          <w:spacing w:val="20"/>
          <w:sz w:val="32"/>
          <w:szCs w:val="32"/>
          <w:u w:val="single"/>
          <w:lang w:val="en-US" w:eastAsia="zh-CN"/>
        </w:rPr>
        <w:t>2024TDCY00013号</w:t>
      </w:r>
    </w:p>
    <w:p>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lang w:val="en-US"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val="en-US" w:eastAsia="zh-CN"/>
        </w:rPr>
        <w:t>安徽同稻餐饮管理有限公司</w:t>
      </w:r>
    </w:p>
    <w:p/>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rPr>
          <w:rFonts w:hint="eastAsia" w:eastAsiaTheme="majorEastAsia"/>
          <w:b/>
          <w:sz w:val="36"/>
          <w:u w:val="single"/>
          <w:lang w:val="en-US" w:eastAsia="zh-CN"/>
        </w:rPr>
      </w:pPr>
    </w:p>
    <w:p>
      <w:pPr>
        <w:pStyle w:val="55"/>
        <w:ind w:left="0" w:leftChars="0" w:firstLine="0" w:firstLineChars="0"/>
        <w:jc w:val="center"/>
      </w:pPr>
      <w:r>
        <w:rPr>
          <w:rFonts w:hint="eastAsia" w:eastAsiaTheme="majorEastAsia"/>
          <w:b/>
          <w:sz w:val="36"/>
          <w:u w:val="single"/>
          <w:lang w:val="en-US" w:eastAsia="zh-CN"/>
        </w:rPr>
        <w:t>2024</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05</w:t>
      </w:r>
      <w:r>
        <w:rPr>
          <w:rFonts w:eastAsiaTheme="majorEastAsia"/>
          <w:b/>
          <w:sz w:val="36"/>
          <w:u w:val="single"/>
        </w:rPr>
        <w:t xml:space="preserve"> </w:t>
      </w:r>
      <w:r>
        <w:rPr>
          <w:rFonts w:eastAsiaTheme="majorEastAsia"/>
          <w:b/>
          <w:sz w:val="36"/>
        </w:rPr>
        <w:t>月</w:t>
      </w:r>
    </w:p>
    <w:p/>
    <w:p/>
    <w:p>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rFonts w:hint="eastAsia"/>
          <w:b/>
          <w:bCs/>
          <w:lang w:val="en-US" w:eastAsia="zh-CN"/>
        </w:rPr>
        <w:t>3</w:t>
      </w:r>
      <w:r>
        <w:rPr>
          <w:b/>
          <w:bCs/>
        </w:rPr>
        <w:fldChar w:fldCharType="end"/>
      </w:r>
    </w:p>
    <w:p>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rFonts w:hint="eastAsia"/>
          <w:b/>
          <w:bCs/>
          <w:lang w:val="en-US" w:eastAsia="zh-CN"/>
        </w:rPr>
        <w:t>1</w:t>
      </w:r>
      <w:r>
        <w:rPr>
          <w:b/>
          <w:bCs/>
        </w:rPr>
        <w:fldChar w:fldCharType="end"/>
      </w:r>
      <w:r>
        <w:rPr>
          <w:rFonts w:hint="eastAsia"/>
          <w:b/>
          <w:bCs/>
          <w:lang w:val="en-US" w:eastAsia="zh-CN"/>
        </w:rPr>
        <w:t>2</w:t>
      </w:r>
    </w:p>
    <w:p>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rFonts w:hint="eastAsia"/>
          <w:b/>
          <w:bCs/>
          <w:lang w:val="en-US" w:eastAsia="zh-CN"/>
        </w:rPr>
        <w:t>1</w:t>
      </w:r>
      <w:r>
        <w:rPr>
          <w:b/>
          <w:bCs/>
        </w:rPr>
        <w:fldChar w:fldCharType="end"/>
      </w:r>
      <w:r>
        <w:rPr>
          <w:rFonts w:hint="eastAsia"/>
          <w:b/>
          <w:bCs/>
          <w:lang w:val="en-US" w:eastAsia="zh-CN"/>
        </w:rPr>
        <w:t>5</w:t>
      </w:r>
    </w:p>
    <w:p>
      <w:pPr>
        <w:pStyle w:val="45"/>
        <w:tabs>
          <w:tab w:val="right" w:leader="middleDot" w:pos="8869"/>
        </w:tabs>
        <w:ind w:left="0"/>
        <w:rPr>
          <w:rFonts w:hint="eastAsia" w:eastAsiaTheme="minorEastAsia"/>
          <w:b/>
          <w:bCs/>
          <w:lang w:val="en-US" w:eastAsia="zh-CN"/>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rFonts w:hint="eastAsia"/>
          <w:b/>
          <w:bCs/>
          <w:lang w:val="en-US" w:eastAsia="zh-CN"/>
        </w:rPr>
        <w:t>1</w:t>
      </w:r>
      <w:r>
        <w:rPr>
          <w:b/>
          <w:bCs/>
        </w:rPr>
        <w:fldChar w:fldCharType="end"/>
      </w:r>
      <w:r>
        <w:rPr>
          <w:rFonts w:hint="eastAsia"/>
          <w:b/>
          <w:bCs/>
          <w:lang w:val="en-US" w:eastAsia="zh-CN"/>
        </w:rPr>
        <w:t>7</w:t>
      </w:r>
    </w:p>
    <w:p>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2</w:t>
      </w:r>
      <w:r>
        <w:rPr>
          <w:b/>
          <w:bCs/>
        </w:rPr>
        <w:fldChar w:fldCharType="end"/>
      </w:r>
      <w:r>
        <w:rPr>
          <w:rFonts w:hint="eastAsia"/>
          <w:b/>
          <w:bCs/>
          <w:lang w:val="en-US" w:eastAsia="zh-CN"/>
        </w:rPr>
        <w:t>8</w:t>
      </w:r>
    </w:p>
    <w:p>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pPr>
        <w:tabs>
          <w:tab w:val="left" w:pos="2410"/>
        </w:tabs>
        <w:autoSpaceDE w:val="0"/>
        <w:autoSpaceDN w:val="0"/>
        <w:adjustRightInd w:val="0"/>
        <w:snapToGrid w:val="0"/>
        <w:spacing w:line="360" w:lineRule="auto"/>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安徽同稻餐饮管理有限公司</w:t>
      </w:r>
      <w:r>
        <w:rPr>
          <w:rFonts w:ascii="Times New Roman" w:hAnsi="Times New Roman" w:cs="Times New Roman"/>
          <w:bCs/>
          <w:color w:val="000000"/>
          <w:sz w:val="21"/>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lang w:val="en-US" w:eastAsia="zh-CN"/>
        </w:rPr>
        <w:t xml:space="preserve"> 安徽同稻餐饮管理有限公司软饮类采购</w:t>
      </w:r>
      <w:r>
        <w:rPr>
          <w:rFonts w:ascii="Times New Roman" w:hAnsi="Times New Roman" w:cs="Times New Roman"/>
          <w:bCs/>
          <w:color w:val="000000"/>
          <w:sz w:val="21"/>
          <w:szCs w:val="21"/>
        </w:rPr>
        <w:t>进行竞价，欢迎具备条件的投标人参加投标。</w:t>
      </w:r>
    </w:p>
    <w:p>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lang w:val="en-US" w:eastAsia="zh-CN"/>
        </w:rPr>
        <w:t>2024TDCY00013号</w:t>
      </w:r>
    </w:p>
    <w:p>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rPr>
      </w:pPr>
      <w:r>
        <w:rPr>
          <w:rFonts w:ascii="Times New Roman" w:hAnsi="Times New Roman" w:cs="Times New Roman" w:eastAsiaTheme="majorEastAsia"/>
          <w:sz w:val="21"/>
          <w:szCs w:val="21"/>
        </w:rPr>
        <w:t>2.项目名称：</w:t>
      </w:r>
      <w:r>
        <w:rPr>
          <w:rFonts w:hint="eastAsia" w:ascii="Times New Roman" w:hAnsi="Times New Roman" w:cs="Times New Roman" w:eastAsiaTheme="majorEastAsia"/>
          <w:sz w:val="21"/>
          <w:szCs w:val="21"/>
          <w:lang w:val="en-US" w:eastAsia="zh-CN"/>
        </w:rPr>
        <w:t>安徽同稻餐饮管理有限公司软饮类采购</w:t>
      </w:r>
    </w:p>
    <w:p>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3.项目地点：</w:t>
      </w:r>
      <w:r>
        <w:rPr>
          <w:rFonts w:hint="eastAsia" w:ascii="Times New Roman" w:hAnsi="Times New Roman" w:cs="Times New Roman" w:eastAsiaTheme="majorEastAsia"/>
          <w:sz w:val="21"/>
          <w:szCs w:val="21"/>
          <w:lang w:val="en-US" w:eastAsia="zh-CN"/>
        </w:rPr>
        <w:t>合肥市</w:t>
      </w:r>
    </w:p>
    <w:p>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lang w:val="en-US" w:eastAsia="zh-CN"/>
        </w:rPr>
        <w:t>安徽同稻餐饮管理有限公司</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eastAsiaTheme="majorEastAsia"/>
          <w:sz w:val="21"/>
          <w:szCs w:val="21"/>
          <w:lang w:val="en-US" w:eastAsia="zh-CN"/>
        </w:rPr>
        <w:t>安徽同稻餐饮管理有限公司软饮类采购</w:t>
      </w:r>
    </w:p>
    <w:p>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eastAsiaTheme="majorEastAsia"/>
          <w:sz w:val="21"/>
          <w:szCs w:val="21"/>
          <w:lang w:val="en-US" w:eastAsia="zh-CN"/>
        </w:rPr>
        <w:t>自筹</w:t>
      </w:r>
    </w:p>
    <w:p>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7.项目预算：</w:t>
      </w:r>
      <w:r>
        <w:rPr>
          <w:rFonts w:hint="eastAsia" w:ascii="Times New Roman" w:hAnsi="Times New Roman" w:cs="Times New Roman" w:eastAsiaTheme="majorEastAsia"/>
          <w:bCs/>
          <w:color w:val="000000"/>
          <w:sz w:val="21"/>
          <w:szCs w:val="21"/>
          <w:u w:val="none"/>
          <w:lang w:val="en-US" w:eastAsia="zh-CN"/>
        </w:rPr>
        <w:t>9万元</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none"/>
        </w:rPr>
        <w:t xml:space="preserve">货物类   </w:t>
      </w:r>
    </w:p>
    <w:p>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rPr>
        <w:t>个标段，本次</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第</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rPr>
        <w:t>标段。</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pPr>
        <w:spacing w:line="500" w:lineRule="exact"/>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1.投标人具有独立承担民事责任的能力</w:t>
      </w:r>
      <w:r>
        <w:rPr>
          <w:rFonts w:hint="eastAsia" w:ascii="Times New Roman" w:hAnsi="Times New Roman" w:cs="Times New Roman" w:eastAsiaTheme="majorEastAsia"/>
          <w:sz w:val="21"/>
          <w:szCs w:val="21"/>
          <w:lang w:eastAsia="zh-CN"/>
        </w:rPr>
        <w:t>。</w:t>
      </w:r>
    </w:p>
    <w:p>
      <w:pPr>
        <w:spacing w:line="500" w:lineRule="exact"/>
        <w:ind w:firstLine="420" w:firstLineChars="200"/>
        <w:rPr>
          <w:rFonts w:hint="default" w:ascii="Times New Roman" w:hAnsi="Times New Roman" w:cs="Times New Roman" w:eastAsiaTheme="majorEastAsia"/>
          <w:b/>
          <w:bCs/>
          <w:i/>
          <w:iCs/>
          <w:color w:val="FF0000"/>
          <w:sz w:val="21"/>
          <w:szCs w:val="21"/>
          <w:lang w:val="en-US" w:eastAsia="zh-CN"/>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营业执照和食品经营许可证。</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3.投标人业绩要求：</w:t>
      </w:r>
      <w:r>
        <w:rPr>
          <w:rFonts w:hint="eastAsia" w:ascii="Times New Roman" w:hAnsi="Times New Roman" w:cs="Times New Roman" w:eastAsiaTheme="majorEastAsia"/>
          <w:bCs/>
          <w:snapToGrid w:val="0"/>
          <w:sz w:val="21"/>
          <w:szCs w:val="21"/>
          <w:u w:val="single"/>
          <w:lang w:val="en-US" w:eastAsia="zh-CN"/>
        </w:rPr>
        <w:t>2020</w:t>
      </w:r>
      <w:r>
        <w:rPr>
          <w:rFonts w:ascii="Times New Roman" w:hAnsi="Times New Roman" w:cs="Times New Roman"/>
          <w:bCs/>
          <w:snapToGrid w:val="0"/>
          <w:sz w:val="21"/>
          <w:szCs w:val="21"/>
        </w:rPr>
        <w:t>年</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月</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日以来（以合同签订时间为准），投标人须具有         （</w:t>
      </w:r>
      <w:r>
        <w:rPr>
          <w:rFonts w:hint="eastAsia" w:ascii="Times New Roman" w:hAnsi="Times New Roman" w:cs="Times New Roman"/>
          <w:bCs/>
          <w:snapToGrid w:val="0"/>
          <w:sz w:val="21"/>
          <w:szCs w:val="21"/>
          <w:lang w:eastAsia="zh-CN"/>
        </w:rPr>
        <w:t>招标人</w:t>
      </w:r>
      <w:r>
        <w:rPr>
          <w:rFonts w:ascii="Times New Roman" w:hAnsi="Times New Roman" w:cs="Times New Roman"/>
          <w:bCs/>
          <w:snapToGrid w:val="0"/>
          <w:sz w:val="21"/>
          <w:szCs w:val="21"/>
        </w:rPr>
        <w:t>提供与采购项目相匹配的货物）供货业绩。</w:t>
      </w:r>
    </w:p>
    <w:p>
      <w:pPr>
        <w:spacing w:line="500" w:lineRule="exact"/>
        <w:ind w:firstLine="420" w:firstLineChars="200"/>
        <w:rPr>
          <w:rFonts w:ascii="Times New Roman" w:hAnsi="Times New Roman" w:cs="Times New Roman"/>
          <w:bCs/>
          <w:snapToGrid w:val="0"/>
          <w:szCs w:val="21"/>
        </w:rPr>
      </w:pPr>
      <w:r>
        <w:rPr>
          <w:rFonts w:ascii="Times New Roman" w:hAnsi="Times New Roman" w:cs="Times New Roman" w:eastAsiaTheme="majorEastAsia"/>
          <w:sz w:val="21"/>
          <w:szCs w:val="21"/>
        </w:rPr>
        <w:t>4.项目负责人资格要求：</w:t>
      </w:r>
      <w:r>
        <w:rPr>
          <w:rFonts w:ascii="Times New Roman" w:hAnsi="Times New Roman" w:eastAsia="楷体" w:cs="Times New Roman"/>
          <w:u w:val="single"/>
        </w:rPr>
        <w:t xml:space="preserve"> </w:t>
      </w:r>
      <w:r>
        <w:rPr>
          <w:rFonts w:hint="eastAsia" w:asciiTheme="majorEastAsia" w:hAnsiTheme="majorEastAsia" w:eastAsiaTheme="majorEastAsia" w:cstheme="majorEastAsia"/>
          <w:u w:val="single"/>
          <w:lang w:val="en-US" w:eastAsia="zh-CN"/>
        </w:rPr>
        <w:t>无</w:t>
      </w:r>
      <w:r>
        <w:rPr>
          <w:rFonts w:ascii="Times New Roman" w:hAnsi="Times New Roman" w:eastAsia="楷体" w:cs="Times New Roman"/>
          <w:bCs/>
          <w:snapToGrid w:val="0"/>
          <w:szCs w:val="21"/>
          <w:u w:val="single"/>
        </w:rPr>
        <w:t xml:space="preserve"> </w:t>
      </w:r>
      <w:r>
        <w:rPr>
          <w:rFonts w:ascii="Times New Roman" w:hAnsi="Times New Roman" w:cs="Times New Roman"/>
          <w:bCs/>
          <w:snapToGrid w:val="0"/>
          <w:szCs w:val="21"/>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auto"/>
          <w:sz w:val="21"/>
          <w:szCs w:val="21"/>
        </w:rPr>
        <w:t>不接受</w:t>
      </w:r>
      <w:r>
        <w:rPr>
          <w:rFonts w:ascii="Times New Roman" w:hAnsi="Times New Roman" w:cs="Times New Roman" w:eastAsiaTheme="majorEastAsia"/>
          <w:sz w:val="21"/>
          <w:szCs w:val="21"/>
        </w:rPr>
        <w:t>联合体投标。联合体投标的，应满足下列要求：</w:t>
      </w:r>
    </w:p>
    <w:p>
      <w:pPr>
        <w:spacing w:line="500" w:lineRule="exact"/>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6.投标人不得存在以下不良信用记录情形</w:t>
      </w:r>
      <w:r>
        <w:rPr>
          <w:rFonts w:hint="eastAsia" w:ascii="Times New Roman" w:hAnsi="Times New Roman" w:cs="Times New Roman" w:eastAsiaTheme="majorEastAsia"/>
          <w:sz w:val="21"/>
          <w:szCs w:val="21"/>
          <w:lang w:eastAsia="zh-CN"/>
        </w:rPr>
        <w:t>：</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无</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pPr>
        <w:widowControl/>
        <w:spacing w:line="500" w:lineRule="exact"/>
        <w:ind w:firstLine="420" w:firstLineChars="200"/>
        <w:jc w:val="left"/>
        <w:rPr>
          <w:rFonts w:hint="eastAsia" w:ascii="Times New Roman" w:hAnsi="Times New Roman" w:eastAsia="宋体" w:cs="Times New Roman"/>
          <w:bCs/>
          <w:snapToGrid w:val="0"/>
          <w:color w:val="0D0D0D" w:themeColor="text1" w:themeTint="F2"/>
          <w:sz w:val="16"/>
          <w:szCs w:val="16"/>
          <w:lang w:val="en-US"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1.</w:t>
      </w:r>
      <w:r>
        <w:rPr>
          <w:rFonts w:hint="eastAsia" w:ascii="Times New Roman" w:hAnsi="Times New Roman" w:cs="Times New Roman" w:eastAsiaTheme="majorEastAsia"/>
          <w:color w:val="0D0D0D" w:themeColor="text1" w:themeTint="F2"/>
          <w:sz w:val="21"/>
          <w:szCs w:val="21"/>
          <w:lang w:val="en-US" w:eastAsia="zh-CN"/>
          <w14:textFill>
            <w14:solidFill>
              <w14:schemeClr w14:val="tx1">
                <w14:lumMod w14:val="95000"/>
                <w14:lumOff w14:val="5000"/>
              </w14:schemeClr>
            </w14:solidFill>
          </w14:textFill>
        </w:rPr>
        <w:t>报名</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时间：</w:t>
      </w:r>
      <w:r>
        <w:rPr>
          <w:rFonts w:hint="eastAsia" w:ascii="Times New Roman" w:hAnsi="Times New Roman" w:cs="Times New Roman" w:eastAsiaTheme="majorEastAsia"/>
          <w:bCs/>
          <w:snapToGrid w:val="0"/>
          <w:color w:val="0D0D0D" w:themeColor="text1" w:themeTint="F2"/>
          <w:sz w:val="21"/>
          <w:szCs w:val="22"/>
          <w:u w:val="single"/>
          <w:lang w:val="en-US" w:eastAsia="zh-CN"/>
          <w14:textFill>
            <w14:solidFill>
              <w14:schemeClr w14:val="tx1">
                <w14:lumMod w14:val="95000"/>
                <w14:lumOff w14:val="5000"/>
              </w14:schemeClr>
            </w14:solidFill>
          </w14:textFill>
        </w:rPr>
        <w:t>2024</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年</w:t>
      </w:r>
      <w:r>
        <w:rPr>
          <w:rFonts w:hint="eastAsia" w:ascii="Times New Roman" w:hAnsi="Times New Roman" w:cs="Times New Roman"/>
          <w:bCs/>
          <w:snapToGrid w:val="0"/>
          <w:color w:val="0D0D0D" w:themeColor="text1" w:themeTint="F2"/>
          <w:sz w:val="21"/>
          <w:szCs w:val="22"/>
          <w:u w:val="single"/>
          <w:lang w:val="en-US" w:eastAsia="zh-CN"/>
          <w14:textFill>
            <w14:solidFill>
              <w14:schemeClr w14:val="tx1">
                <w14:lumMod w14:val="95000"/>
                <w14:lumOff w14:val="5000"/>
              </w14:schemeClr>
            </w14:solidFill>
          </w14:textFill>
        </w:rPr>
        <w:t>05</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月</w:t>
      </w:r>
      <w:r>
        <w:rPr>
          <w:rFonts w:hint="eastAsia" w:ascii="Times New Roman" w:hAnsi="Times New Roman" w:cs="Times New Roman"/>
          <w:bCs/>
          <w:snapToGrid w:val="0"/>
          <w:color w:val="0D0D0D" w:themeColor="text1" w:themeTint="F2"/>
          <w:sz w:val="21"/>
          <w:szCs w:val="22"/>
          <w:u w:val="single"/>
          <w:lang w:val="en-US" w:eastAsia="zh-CN"/>
          <w14:textFill>
            <w14:solidFill>
              <w14:schemeClr w14:val="tx1">
                <w14:lumMod w14:val="95000"/>
                <w14:lumOff w14:val="5000"/>
              </w14:schemeClr>
            </w14:solidFill>
          </w14:textFill>
        </w:rPr>
        <w:t>29</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日至</w:t>
      </w:r>
      <w:r>
        <w:rPr>
          <w:rFonts w:hint="eastAsia" w:ascii="Times New Roman" w:hAnsi="Times New Roman" w:cs="Times New Roman"/>
          <w:bCs/>
          <w:snapToGrid w:val="0"/>
          <w:color w:val="0D0D0D" w:themeColor="text1" w:themeTint="F2"/>
          <w:sz w:val="21"/>
          <w:szCs w:val="22"/>
          <w:u w:val="single"/>
          <w:lang w:val="en-US" w:eastAsia="zh-CN"/>
          <w14:textFill>
            <w14:solidFill>
              <w14:schemeClr w14:val="tx1">
                <w14:lumMod w14:val="95000"/>
                <w14:lumOff w14:val="5000"/>
              </w14:schemeClr>
            </w14:solidFill>
          </w14:textFill>
        </w:rPr>
        <w:t>2024</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年</w:t>
      </w:r>
      <w:r>
        <w:rPr>
          <w:rFonts w:hint="eastAsia" w:ascii="Times New Roman" w:hAnsi="Times New Roman" w:cs="Times New Roman"/>
          <w:bCs/>
          <w:snapToGrid w:val="0"/>
          <w:color w:val="0D0D0D" w:themeColor="text1" w:themeTint="F2"/>
          <w:sz w:val="21"/>
          <w:szCs w:val="22"/>
          <w:u w:val="single"/>
          <w:lang w:val="en-US" w:eastAsia="zh-CN"/>
          <w14:textFill>
            <w14:solidFill>
              <w14:schemeClr w14:val="tx1">
                <w14:lumMod w14:val="95000"/>
                <w14:lumOff w14:val="5000"/>
              </w14:schemeClr>
            </w14:solidFill>
          </w14:textFill>
        </w:rPr>
        <w:t>06</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月</w:t>
      </w:r>
      <w:r>
        <w:rPr>
          <w:rFonts w:hint="eastAsia" w:ascii="Times New Roman" w:hAnsi="Times New Roman" w:cs="Times New Roman"/>
          <w:bCs/>
          <w:snapToGrid w:val="0"/>
          <w:color w:val="0D0D0D" w:themeColor="text1" w:themeTint="F2"/>
          <w:sz w:val="21"/>
          <w:szCs w:val="22"/>
          <w:u w:val="single"/>
          <w:lang w:val="en-US" w:eastAsia="zh-CN"/>
          <w14:textFill>
            <w14:solidFill>
              <w14:schemeClr w14:val="tx1">
                <w14:lumMod w14:val="95000"/>
                <w14:lumOff w14:val="5000"/>
              </w14:schemeClr>
            </w14:solidFill>
          </w14:textFill>
        </w:rPr>
        <w:t>02</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日(北京时间</w:t>
      </w:r>
      <w:r>
        <w:rPr>
          <w:rFonts w:hint="eastAsia" w:ascii="Times New Roman" w:hAnsi="Times New Roman" w:cs="Times New Roman"/>
          <w:bCs/>
          <w:snapToGrid w:val="0"/>
          <w:color w:val="0D0D0D" w:themeColor="text1" w:themeTint="F2"/>
          <w:sz w:val="21"/>
          <w:szCs w:val="21"/>
          <w:lang w:val="en-US" w:eastAsia="zh-CN"/>
          <w14:textFill>
            <w14:solidFill>
              <w14:schemeClr w14:val="tx1">
                <w14:lumMod w14:val="95000"/>
                <w14:lumOff w14:val="5000"/>
              </w14:schemeClr>
            </w14:solidFill>
          </w14:textFill>
        </w:rPr>
        <w:t>17:00</w:t>
      </w:r>
      <w:bookmarkStart w:id="90" w:name="_GoBack"/>
      <w:bookmarkEnd w:id="90"/>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w:t>
      </w:r>
      <w:r>
        <w:rPr>
          <w:rFonts w:hint="eastAsia" w:ascii="Times New Roman" w:hAnsi="Times New Roman" w:cs="Times New Roman"/>
          <w:bCs/>
          <w:snapToGrid w:val="0"/>
          <w:color w:val="0D0D0D" w:themeColor="text1" w:themeTint="F2"/>
          <w:sz w:val="21"/>
          <w:szCs w:val="21"/>
          <w:lang w:eastAsia="zh-CN"/>
          <w14:textFill>
            <w14:solidFill>
              <w14:schemeClr w14:val="tx1">
                <w14:lumMod w14:val="95000"/>
                <w14:lumOff w14:val="5000"/>
              </w14:schemeClr>
            </w14:solidFill>
          </w14:textFill>
        </w:rPr>
        <w:t>。</w:t>
      </w:r>
    </w:p>
    <w:p>
      <w:pPr>
        <w:spacing w:line="500" w:lineRule="exact"/>
        <w:ind w:firstLine="420" w:firstLineChars="200"/>
        <w:rPr>
          <w:rFonts w:hint="eastAsia" w:ascii="Times New Roman" w:hAnsi="Times New Roman" w:cs="Times New Roman" w:eastAsiaTheme="majorEastAsia"/>
          <w:color w:val="0D0D0D" w:themeColor="text1" w:themeTint="F2"/>
          <w:sz w:val="21"/>
          <w:szCs w:val="21"/>
          <w:lang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2.</w:t>
      </w:r>
      <w:r>
        <w:rPr>
          <w:rFonts w:hint="eastAsia" w:ascii="Times New Roman" w:hAnsi="Times New Roman" w:cs="Times New Roman" w:eastAsiaTheme="majorEastAsia"/>
          <w:color w:val="0D0D0D" w:themeColor="text1" w:themeTint="F2"/>
          <w:sz w:val="21"/>
          <w:szCs w:val="21"/>
          <w:lang w:val="en-US" w:eastAsia="zh-CN"/>
          <w14:textFill>
            <w14:solidFill>
              <w14:schemeClr w14:val="tx1">
                <w14:lumMod w14:val="95000"/>
                <w14:lumOff w14:val="5000"/>
              </w14:schemeClr>
            </w14:solidFill>
          </w14:textFill>
        </w:rPr>
        <w:t>竞价文件</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获取方式：投标人登录合肥文旅博览集团有限公司网站（http://www.zwzcgl.com）下载</w:t>
      </w:r>
      <w:r>
        <w:rPr>
          <w:rFonts w:hint="eastAsia"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竞价</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文件</w:t>
      </w:r>
      <w:r>
        <w:rPr>
          <w:rFonts w:hint="eastAsia" w:ascii="Times New Roman" w:hAnsi="Times New Roman" w:cs="Times New Roman" w:eastAsiaTheme="majorEastAsia"/>
          <w:color w:val="0D0D0D" w:themeColor="text1" w:themeTint="F2"/>
          <w:sz w:val="21"/>
          <w:szCs w:val="21"/>
          <w:lang w:eastAsia="zh-CN"/>
          <w14:textFill>
            <w14:solidFill>
              <w14:schemeClr w14:val="tx1">
                <w14:lumMod w14:val="95000"/>
                <w14:lumOff w14:val="5000"/>
              </w14:schemeClr>
            </w14:solidFill>
          </w14:textFill>
        </w:rPr>
        <w:t>。</w:t>
      </w:r>
    </w:p>
    <w:p>
      <w:pPr>
        <w:widowControl/>
        <w:spacing w:line="500" w:lineRule="exact"/>
        <w:ind w:firstLine="420" w:firstLineChars="200"/>
        <w:jc w:val="left"/>
        <w:rPr>
          <w:rFonts w:hint="eastAsia" w:ascii="Times New Roman" w:hAnsi="Times New Roman" w:eastAsia="宋体" w:cs="Times New Roman"/>
          <w:bCs/>
          <w:snapToGrid w:val="0"/>
          <w:color w:val="0D0D0D" w:themeColor="text1" w:themeTint="F2"/>
          <w:sz w:val="21"/>
          <w:lang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3.</w:t>
      </w:r>
      <w:r>
        <w:rPr>
          <w:rFonts w:ascii="Times New Roman" w:hAnsi="Times New Roman" w:cs="Times New Roman"/>
          <w:bCs/>
          <w:snapToGrid w:val="0"/>
          <w:color w:val="0D0D0D" w:themeColor="text1" w:themeTint="F2"/>
          <w:sz w:val="21"/>
          <w14:textFill>
            <w14:solidFill>
              <w14:schemeClr w14:val="tx1">
                <w14:lumMod w14:val="95000"/>
                <w14:lumOff w14:val="5000"/>
              </w14:schemeClr>
            </w14:solidFill>
          </w14:textFill>
        </w:rPr>
        <w:t>报名方法：投标人下载附件《投标报名信息表》并完整填写信息后在规定的报名日期内发送至邮箱：</w:t>
      </w:r>
      <w:r>
        <w:rPr>
          <w:color w:val="0D0D0D" w:themeColor="text1" w:themeTint="F2"/>
          <w14:textFill>
            <w14:solidFill>
              <w14:schemeClr w14:val="tx1">
                <w14:lumMod w14:val="95000"/>
                <w14:lumOff w14:val="5000"/>
              </w14:schemeClr>
            </w14:solidFill>
          </w14:textFill>
        </w:rPr>
        <w:fldChar w:fldCharType="begin"/>
      </w:r>
      <w:r>
        <w:rPr>
          <w:color w:val="0D0D0D" w:themeColor="text1" w:themeTint="F2"/>
          <w14:textFill>
            <w14:solidFill>
              <w14:schemeClr w14:val="tx1">
                <w14:lumMod w14:val="95000"/>
                <w14:lumOff w14:val="5000"/>
              </w14:schemeClr>
            </w14:solidFill>
          </w14:textFill>
        </w:rPr>
        <w:instrText xml:space="preserve"> HYPERLINK "mailto:******@qq.com" </w:instrText>
      </w:r>
      <w:r>
        <w:rPr>
          <w:color w:val="0D0D0D" w:themeColor="text1" w:themeTint="F2"/>
          <w14:textFill>
            <w14:solidFill>
              <w14:schemeClr w14:val="tx1">
                <w14:lumMod w14:val="95000"/>
                <w14:lumOff w14:val="5000"/>
              </w14:schemeClr>
            </w14:solidFill>
          </w14:textFill>
        </w:rPr>
        <w:fldChar w:fldCharType="separate"/>
      </w:r>
      <w:r>
        <w:rPr>
          <w:rFonts w:hint="eastAsia" w:ascii="Times New Roman" w:hAnsi="Times New Roman" w:cs="Times New Roman"/>
          <w:bCs/>
          <w:snapToGrid w:val="0"/>
          <w:color w:val="0D0D0D" w:themeColor="text1" w:themeTint="F2"/>
          <w:sz w:val="21"/>
          <w:lang w:val="en-US" w:eastAsia="zh-CN"/>
          <w14:textFill>
            <w14:solidFill>
              <w14:schemeClr w14:val="tx1">
                <w14:lumMod w14:val="95000"/>
                <w14:lumOff w14:val="5000"/>
              </w14:schemeClr>
            </w14:solidFill>
          </w14:textFill>
        </w:rPr>
        <w:t>574184515</w:t>
      </w:r>
      <w:r>
        <w:rPr>
          <w:rFonts w:ascii="Times New Roman" w:hAnsi="Times New Roman" w:cs="Times New Roman"/>
          <w:bCs/>
          <w:snapToGrid w:val="0"/>
          <w:color w:val="0D0D0D" w:themeColor="text1" w:themeTint="F2"/>
          <w:sz w:val="21"/>
          <w14:textFill>
            <w14:solidFill>
              <w14:schemeClr w14:val="tx1">
                <w14:lumMod w14:val="95000"/>
                <w14:lumOff w14:val="5000"/>
              </w14:schemeClr>
            </w14:solidFill>
          </w14:textFill>
        </w:rPr>
        <w:t>@qq.com</w:t>
      </w:r>
      <w:r>
        <w:rPr>
          <w:rFonts w:ascii="Times New Roman" w:hAnsi="Times New Roman" w:cs="Times New Roman"/>
          <w:bCs/>
          <w:snapToGrid w:val="0"/>
          <w:color w:val="0D0D0D" w:themeColor="text1" w:themeTint="F2"/>
          <w:sz w:val="21"/>
          <w14:textFill>
            <w14:solidFill>
              <w14:schemeClr w14:val="tx1">
                <w14:lumMod w14:val="95000"/>
                <w14:lumOff w14:val="5000"/>
              </w14:schemeClr>
            </w14:solidFill>
          </w14:textFill>
        </w:rPr>
        <w:fldChar w:fldCharType="end"/>
      </w:r>
      <w:r>
        <w:rPr>
          <w:rFonts w:hint="eastAsia" w:ascii="Times New Roman" w:hAnsi="Times New Roman" w:cs="Times New Roman"/>
          <w:bCs/>
          <w:snapToGrid w:val="0"/>
          <w:color w:val="0D0D0D" w:themeColor="text1" w:themeTint="F2"/>
          <w:sz w:val="21"/>
          <w:lang w:eastAsia="zh-CN"/>
          <w14:textFill>
            <w14:solidFill>
              <w14:schemeClr w14:val="tx1">
                <w14:lumMod w14:val="95000"/>
                <w14:lumOff w14:val="5000"/>
              </w14:schemeClr>
            </w14:solidFill>
          </w14:textFill>
        </w:rPr>
        <w:t>。</w:t>
      </w:r>
    </w:p>
    <w:p>
      <w:pPr>
        <w:spacing w:line="500" w:lineRule="exact"/>
        <w:ind w:firstLine="482" w:firstLineChars="200"/>
        <w:outlineLvl w:val="1"/>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四、</w:t>
      </w:r>
      <w:r>
        <w:rPr>
          <w:rFonts w:hint="eastAsia"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开标</w:t>
      </w:r>
      <w:r>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时间及地点</w:t>
      </w:r>
    </w:p>
    <w:p>
      <w:pPr>
        <w:spacing w:line="500" w:lineRule="exact"/>
        <w:ind w:firstLine="435"/>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1.</w:t>
      </w:r>
      <w:r>
        <w:rPr>
          <w:rFonts w:hint="eastAsia"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开标</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时间：</w:t>
      </w:r>
      <w:r>
        <w:rPr>
          <w:rFonts w:hint="eastAsia" w:ascii="Times New Roman" w:hAnsi="Times New Roman" w:cs="Times New Roman" w:eastAsiaTheme="majorEastAsia"/>
          <w:bCs/>
          <w:snapToGrid w:val="0"/>
          <w:color w:val="0D0D0D" w:themeColor="text1" w:themeTint="F2"/>
          <w:sz w:val="21"/>
          <w:szCs w:val="21"/>
          <w:u w:val="single"/>
          <w:lang w:val="en-US" w:eastAsia="zh-CN"/>
          <w14:textFill>
            <w14:solidFill>
              <w14:schemeClr w14:val="tx1">
                <w14:lumMod w14:val="95000"/>
                <w14:lumOff w14:val="5000"/>
              </w14:schemeClr>
            </w14:solidFill>
          </w14:textFill>
        </w:rPr>
        <w:t>2024</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年</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06</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月</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03</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日</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10</w:t>
      </w:r>
      <w:r>
        <w:rPr>
          <w:rFonts w:ascii="Times New Roman" w:hAnsi="Times New Roman" w:cs="Times New Roman" w:eastAsiaTheme="minorEastAsia"/>
          <w:color w:val="0D0D0D" w:themeColor="text1" w:themeTint="F2"/>
          <w:sz w:val="21"/>
          <w:szCs w:val="21"/>
          <w14:textFill>
            <w14:solidFill>
              <w14:schemeClr w14:val="tx1">
                <w14:lumMod w14:val="95000"/>
                <w14:lumOff w14:val="5000"/>
              </w14:schemeClr>
            </w14:solidFill>
          </w14:textFill>
        </w:rPr>
        <w:t xml:space="preserve"> 时</w:t>
      </w:r>
      <w:r>
        <w:rPr>
          <w:rFonts w:hint="eastAsia" w:ascii="Times New Roman" w:hAnsi="Times New Roman" w:cs="Times New Roman" w:eastAsiaTheme="minorEastAsia"/>
          <w:bCs/>
          <w:snapToGrid w:val="0"/>
          <w:color w:val="0D0D0D" w:themeColor="text1" w:themeTint="F2"/>
          <w:sz w:val="21"/>
          <w:szCs w:val="21"/>
          <w:u w:val="single"/>
          <w:lang w:val="en-US" w:eastAsia="zh-CN"/>
          <w14:textFill>
            <w14:solidFill>
              <w14:schemeClr w14:val="tx1">
                <w14:lumMod w14:val="95000"/>
                <w14:lumOff w14:val="5000"/>
              </w14:schemeClr>
            </w14:solidFill>
          </w14:textFill>
        </w:rPr>
        <w:t>00</w:t>
      </w:r>
      <w:r>
        <w:rPr>
          <w:rFonts w:ascii="Times New Roman" w:hAnsi="Times New Roman" w:cs="Times New Roman" w:eastAsiaTheme="minorEastAsia"/>
          <w:color w:val="0D0D0D" w:themeColor="text1" w:themeTint="F2"/>
          <w:sz w:val="21"/>
          <w:szCs w:val="21"/>
          <w14:textFill>
            <w14:solidFill>
              <w14:schemeClr w14:val="tx1">
                <w14:lumMod w14:val="95000"/>
                <w14:lumOff w14:val="5000"/>
              </w14:schemeClr>
            </w14:solidFill>
          </w14:textFill>
        </w:rPr>
        <w:t>分</w:t>
      </w:r>
    </w:p>
    <w:p>
      <w:pPr>
        <w:spacing w:line="500" w:lineRule="exact"/>
        <w:ind w:firstLine="435"/>
        <w:rPr>
          <w:rFonts w:hint="default" w:ascii="Times New Roman" w:hAnsi="Times New Roman" w:cs="Times New Roman" w:eastAsiaTheme="majorEastAsia"/>
          <w:color w:val="0D0D0D" w:themeColor="text1" w:themeTint="F2"/>
          <w:sz w:val="21"/>
          <w:szCs w:val="21"/>
          <w:lang w:val="en-US" w:eastAsia="zh-CN"/>
          <w14:textFill>
            <w14:solidFill>
              <w14:schemeClr w14:val="tx1">
                <w14:lumMod w14:val="95000"/>
                <w14:lumOff w14:val="5000"/>
              </w14:schemeClr>
            </w14:solidFill>
          </w14:textFill>
        </w:rPr>
      </w:pP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2.</w:t>
      </w:r>
      <w:r>
        <w:rPr>
          <w:rFonts w:hint="eastAsia"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开标</w:t>
      </w:r>
      <w:r>
        <w:rPr>
          <w:rFonts w:ascii="Times New Roman" w:hAnsi="Times New Roman" w:cs="Times New Roman" w:eastAsiaTheme="majorEastAsia"/>
          <w:color w:val="0D0D0D" w:themeColor="text1" w:themeTint="F2"/>
          <w:sz w:val="21"/>
          <w:szCs w:val="21"/>
          <w14:textFill>
            <w14:solidFill>
              <w14:schemeClr w14:val="tx1">
                <w14:lumMod w14:val="95000"/>
                <w14:lumOff w14:val="5000"/>
              </w14:schemeClr>
            </w14:solidFill>
          </w14:textFill>
        </w:rPr>
        <w:t>地点：</w:t>
      </w:r>
      <w:r>
        <w:rPr>
          <w:rFonts w:ascii="Times New Roman" w:hAnsi="Times New Roman" w:cs="Times New Roman" w:eastAsiaTheme="majorEastAsia"/>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hAnsi="Times New Roman" w:cs="Times New Roman" w:eastAsiaTheme="majorEastAsia"/>
          <w:color w:val="0D0D0D" w:themeColor="text1" w:themeTint="F2"/>
          <w:sz w:val="21"/>
          <w:szCs w:val="21"/>
          <w:u w:val="single"/>
          <w:lang w:val="en-US" w:eastAsia="zh-CN"/>
          <w14:textFill>
            <w14:solidFill>
              <w14:schemeClr w14:val="tx1">
                <w14:lumMod w14:val="95000"/>
                <w14:lumOff w14:val="5000"/>
              </w14:schemeClr>
            </w14:solidFill>
          </w14:textFill>
        </w:rPr>
        <w:t>安徽同稻餐饮管理有限公司二楼会议室</w:t>
      </w:r>
    </w:p>
    <w:p>
      <w:pPr>
        <w:spacing w:line="500" w:lineRule="exact"/>
        <w:ind w:firstLine="482" w:firstLineChars="200"/>
        <w:outlineLvl w:val="1"/>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eastAsiaTheme="majorEastAsia"/>
          <w:b/>
          <w:bCs/>
          <w:color w:val="0D0D0D" w:themeColor="text1" w:themeTint="F2"/>
          <w:sz w:val="24"/>
          <w:szCs w:val="24"/>
          <w14:textFill>
            <w14:solidFill>
              <w14:schemeClr w14:val="tx1">
                <w14:lumMod w14:val="95000"/>
                <w14:lumOff w14:val="5000"/>
              </w14:schemeClr>
            </w14:solidFill>
          </w14:textFill>
        </w:rPr>
        <w:t>五、投标文件提交截止时间</w:t>
      </w:r>
    </w:p>
    <w:p>
      <w:pPr>
        <w:spacing w:line="500" w:lineRule="exact"/>
        <w:ind w:firstLine="420" w:firstLineChars="200"/>
        <w:outlineLvl w:val="1"/>
        <w:rPr>
          <w:rFonts w:ascii="Times New Roman" w:hAnsi="Times New Roman" w:cs="Times New Roman" w:eastAsiaTheme="minorEastAsia"/>
          <w:color w:val="0D0D0D" w:themeColor="text1" w:themeTint="F2"/>
          <w:sz w:val="21"/>
          <w:szCs w:val="21"/>
          <w14:textFill>
            <w14:solidFill>
              <w14:schemeClr w14:val="tx1">
                <w14:lumMod w14:val="95000"/>
                <w14:lumOff w14:val="5000"/>
              </w14:schemeClr>
            </w14:solidFill>
          </w14:textFill>
        </w:rPr>
      </w:pPr>
      <w:r>
        <w:rPr>
          <w:rFonts w:hint="eastAsia" w:ascii="Times New Roman" w:hAnsi="Times New Roman" w:cs="Times New Roman" w:eastAsiaTheme="majorEastAsia"/>
          <w:bCs/>
          <w:snapToGrid w:val="0"/>
          <w:color w:val="0D0D0D" w:themeColor="text1" w:themeTint="F2"/>
          <w:sz w:val="21"/>
          <w:szCs w:val="21"/>
          <w:u w:val="single"/>
          <w:lang w:val="en-US" w:eastAsia="zh-CN"/>
          <w14:textFill>
            <w14:solidFill>
              <w14:schemeClr w14:val="tx1">
                <w14:lumMod w14:val="95000"/>
                <w14:lumOff w14:val="5000"/>
              </w14:schemeClr>
            </w14:solidFill>
          </w14:textFill>
        </w:rPr>
        <w:t>2024</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年</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06</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月</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03</w:t>
      </w:r>
      <w:r>
        <w:rPr>
          <w:rFonts w:ascii="Times New Roman" w:hAnsi="Times New Roman" w:cs="Times New Roman"/>
          <w:bCs/>
          <w:snapToGrid w:val="0"/>
          <w:color w:val="0D0D0D" w:themeColor="text1" w:themeTint="F2"/>
          <w:sz w:val="21"/>
          <w:szCs w:val="21"/>
          <w14:textFill>
            <w14:solidFill>
              <w14:schemeClr w14:val="tx1">
                <w14:lumMod w14:val="95000"/>
                <w14:lumOff w14:val="5000"/>
              </w14:schemeClr>
            </w14:solidFill>
          </w14:textFill>
        </w:rPr>
        <w:t>日</w:t>
      </w:r>
      <w:r>
        <w:rPr>
          <w:rFonts w:hint="eastAsia" w:ascii="Times New Roman" w:hAnsi="Times New Roman" w:cs="Times New Roman"/>
          <w:bCs/>
          <w:snapToGrid w:val="0"/>
          <w:color w:val="0D0D0D" w:themeColor="text1" w:themeTint="F2"/>
          <w:sz w:val="21"/>
          <w:szCs w:val="21"/>
          <w:u w:val="single"/>
          <w:lang w:val="en-US" w:eastAsia="zh-CN"/>
          <w14:textFill>
            <w14:solidFill>
              <w14:schemeClr w14:val="tx1">
                <w14:lumMod w14:val="95000"/>
                <w14:lumOff w14:val="5000"/>
              </w14:schemeClr>
            </w14:solidFill>
          </w14:textFill>
        </w:rPr>
        <w:t>10</w:t>
      </w:r>
      <w:r>
        <w:rPr>
          <w:rFonts w:ascii="Times New Roman" w:hAnsi="Times New Roman" w:cs="Times New Roman" w:eastAsiaTheme="minorEastAsia"/>
          <w:color w:val="0D0D0D" w:themeColor="text1" w:themeTint="F2"/>
          <w:sz w:val="21"/>
          <w:szCs w:val="21"/>
          <w14:textFill>
            <w14:solidFill>
              <w14:schemeClr w14:val="tx1">
                <w14:lumMod w14:val="95000"/>
                <w14:lumOff w14:val="5000"/>
              </w14:schemeClr>
            </w14:solidFill>
          </w14:textFill>
        </w:rPr>
        <w:t xml:space="preserve"> 时</w:t>
      </w:r>
      <w:r>
        <w:rPr>
          <w:rFonts w:hint="eastAsia" w:ascii="Times New Roman" w:hAnsi="Times New Roman" w:cs="Times New Roman" w:eastAsiaTheme="minorEastAsia"/>
          <w:bCs/>
          <w:snapToGrid w:val="0"/>
          <w:color w:val="0D0D0D" w:themeColor="text1" w:themeTint="F2"/>
          <w:sz w:val="21"/>
          <w:szCs w:val="21"/>
          <w:u w:val="single"/>
          <w:lang w:val="en-US" w:eastAsia="zh-CN"/>
          <w14:textFill>
            <w14:solidFill>
              <w14:schemeClr w14:val="tx1">
                <w14:lumMod w14:val="95000"/>
                <w14:lumOff w14:val="5000"/>
              </w14:schemeClr>
            </w14:solidFill>
          </w14:textFill>
        </w:rPr>
        <w:t>00</w:t>
      </w:r>
      <w:r>
        <w:rPr>
          <w:rFonts w:ascii="Times New Roman" w:hAnsi="Times New Roman" w:cs="Times New Roman" w:eastAsiaTheme="minorEastAsia"/>
          <w:color w:val="0D0D0D" w:themeColor="text1" w:themeTint="F2"/>
          <w:sz w:val="21"/>
          <w:szCs w:val="21"/>
          <w14:textFill>
            <w14:solidFill>
              <w14:schemeClr w14:val="tx1">
                <w14:lumMod w14:val="95000"/>
                <w14:lumOff w14:val="5000"/>
              </w14:schemeClr>
            </w14:solidFill>
          </w14:textFill>
        </w:rPr>
        <w:t>分</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招标人：</w:t>
      </w:r>
      <w:r>
        <w:rPr>
          <w:rFonts w:hint="eastAsia" w:ascii="Times New Roman" w:hAnsi="Times New Roman" w:cs="Times New Roman" w:eastAsiaTheme="minorEastAsia"/>
          <w:sz w:val="21"/>
          <w:szCs w:val="15"/>
          <w:u w:val="single"/>
          <w:lang w:val="en-US" w:eastAsia="zh-CN"/>
        </w:rPr>
        <w:t>安徽同稻餐饮管理有限公司</w:t>
      </w:r>
    </w:p>
    <w:p>
      <w:pPr>
        <w:spacing w:line="500" w:lineRule="exact"/>
        <w:ind w:firstLine="435"/>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ascii="Times New Roman" w:hAnsi="Times New Roman" w:cs="Times New Roman" w:eastAsiaTheme="minorEastAsia"/>
          <w:sz w:val="21"/>
          <w:szCs w:val="15"/>
          <w:u w:val="single"/>
        </w:rPr>
        <w:t>合肥市包河区锦绣大道3899号合肥滨湖国际会展中心东区功能楼</w:t>
      </w:r>
    </w:p>
    <w:p>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u w:val="single"/>
          <w:lang w:val="en-US" w:eastAsia="zh-CN"/>
        </w:rPr>
        <w:t>汪工</w:t>
      </w:r>
    </w:p>
    <w:p>
      <w:pPr>
        <w:spacing w:line="500" w:lineRule="exact"/>
        <w:ind w:firstLine="435"/>
        <w:rPr>
          <w:rFonts w:hint="default" w:ascii="Times New Roman" w:hAnsi="Times New Roman" w:cs="Times New Roman" w:eastAsiaTheme="minorEastAsia"/>
          <w:sz w:val="21"/>
          <w:szCs w:val="15"/>
          <w:lang w:val="en-US" w:eastAsia="zh-CN"/>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u w:val="single"/>
          <w:lang w:val="en-US" w:eastAsia="zh-CN"/>
        </w:rPr>
        <w:t>13739231585</w:t>
      </w:r>
    </w:p>
    <w:p>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sz w:val="21"/>
          <w:szCs w:val="15"/>
        </w:rPr>
        <w:t>.监督管理部门</w:t>
      </w:r>
    </w:p>
    <w:p>
      <w:pPr>
        <w:widowControl/>
        <w:spacing w:line="500" w:lineRule="exact"/>
        <w:ind w:firstLine="420" w:firstLineChars="200"/>
        <w:jc w:val="left"/>
        <w:rPr>
          <w:rFonts w:hint="default" w:ascii="Times New Roman" w:hAnsi="Times New Roman" w:cs="Times New Roman"/>
          <w:bCs/>
          <w:snapToGrid w:val="0"/>
          <w:sz w:val="21"/>
          <w:szCs w:val="21"/>
          <w:lang w:val="en-US"/>
        </w:rPr>
      </w:pPr>
      <w:r>
        <w:rPr>
          <w:rFonts w:ascii="Times New Roman" w:hAnsi="Times New Roman" w:cs="Times New Roman"/>
          <w:bCs/>
          <w:snapToGrid w:val="0"/>
          <w:sz w:val="21"/>
          <w:szCs w:val="21"/>
        </w:rPr>
        <w:t>监督管理部门：</w:t>
      </w:r>
      <w:r>
        <w:rPr>
          <w:rFonts w:hint="eastAsia" w:ascii="Times New Roman" w:hAnsi="Times New Roman" w:cs="Times New Roman" w:eastAsiaTheme="minorEastAsia"/>
          <w:sz w:val="21"/>
          <w:szCs w:val="15"/>
          <w:u w:val="single"/>
          <w:lang w:val="en-US" w:eastAsia="zh-CN"/>
        </w:rPr>
        <w:t>安徽同稻餐饮管理有限公司监察室</w:t>
      </w:r>
    </w:p>
    <w:p>
      <w:pPr>
        <w:widowControl/>
        <w:spacing w:line="500" w:lineRule="exact"/>
        <w:ind w:firstLine="420" w:firstLineChars="20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hint="eastAsia" w:ascii="Times New Roman" w:hAnsi="Times New Roman" w:cs="Times New Roman" w:eastAsiaTheme="minorEastAsia"/>
          <w:sz w:val="21"/>
          <w:szCs w:val="15"/>
          <w:u w:val="single"/>
        </w:rPr>
        <w:t>合肥市包河区锦绣大道3899号合肥滨湖国际会展中心东区功能楼</w:t>
      </w:r>
    </w:p>
    <w:p>
      <w:pPr>
        <w:widowControl/>
        <w:spacing w:line="500" w:lineRule="exact"/>
        <w:ind w:firstLine="420" w:firstLineChars="200"/>
        <w:jc w:val="left"/>
        <w:rPr>
          <w:rFonts w:hint="default" w:ascii="Times New Roman" w:hAnsi="Times New Roman" w:eastAsia="宋体" w:cs="Times New Roman"/>
          <w:bCs/>
          <w:snapToGrid w:val="0"/>
          <w:sz w:val="21"/>
          <w:szCs w:val="21"/>
          <w:lang w:val="en-US" w:eastAsia="zh-CN"/>
        </w:rPr>
      </w:pPr>
      <w:r>
        <w:rPr>
          <w:rFonts w:ascii="Times New Roman" w:hAnsi="Times New Roman" w:cs="Times New Roman"/>
          <w:bCs/>
          <w:snapToGrid w:val="0"/>
          <w:sz w:val="21"/>
          <w:szCs w:val="21"/>
        </w:rPr>
        <w:t>电  话：</w:t>
      </w:r>
      <w:r>
        <w:rPr>
          <w:rFonts w:hint="eastAsia" w:ascii="Times New Roman" w:hAnsi="Times New Roman" w:cs="Times New Roman" w:eastAsiaTheme="minorEastAsia"/>
          <w:sz w:val="21"/>
          <w:szCs w:val="15"/>
          <w:u w:val="single"/>
          <w:lang w:val="en-US" w:eastAsia="zh-CN"/>
        </w:rPr>
        <w:t>13909697557</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有任何疑问或问题，请在工作时间（周一至周五，上午08:00-12:00，下午2:30-5:30，节假日休息）与项目联系人联系。</w:t>
      </w:r>
    </w:p>
    <w:p>
      <w:pPr>
        <w:spacing w:line="360" w:lineRule="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pPr>
              <w:pStyle w:val="69"/>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Times New Roman" w:hAnsi="Times New Roman" w:cs="Times New Roman"/>
                <w:b w:val="0"/>
                <w:strike w:val="0"/>
                <w:sz w:val="21"/>
                <w:szCs w:val="21"/>
                <w:lang w:val="en-US" w:eastAsia="zh-CN"/>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22" w:type="pct"/>
            <w:vAlign w:val="center"/>
          </w:tcPr>
          <w:p>
            <w:pPr>
              <w:pStyle w:val="96"/>
              <w:tabs>
                <w:tab w:val="left" w:pos="1152"/>
              </w:tabs>
              <w:spacing w:before="0" w:beforeAutospacing="0" w:after="0" w:afterAutospacing="0" w:line="360" w:lineRule="auto"/>
              <w:rPr>
                <w:rFonts w:ascii="Times New Roman" w:hAnsi="Times New Roman"/>
                <w:b/>
                <w:strike/>
                <w:sz w:val="21"/>
                <w:szCs w:val="21"/>
              </w:rPr>
            </w:pPr>
            <w:r>
              <w:rPr>
                <w:rFonts w:hint="eastAsia" w:ascii="Times New Roman" w:hAnsi="Times New Roman"/>
                <w:b w:val="0"/>
                <w:bCs/>
                <w:strike w:val="0"/>
                <w:sz w:val="21"/>
                <w:szCs w:val="21"/>
                <w:lang w:val="en-US" w:eastAsia="zh-CN"/>
              </w:rPr>
              <w:t>合同签订采用1+2模式，1年合同期结束双方确认无误后可按原合同单价续下一年度合同，续签次数最多2次。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pPr>
              <w:pStyle w:val="6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关于联合体参</w:t>
            </w:r>
            <w:r>
              <w:rPr>
                <w:rFonts w:hint="eastAsia" w:ascii="Times New Roman" w:hAnsi="Times New Roman" w:cs="Times New Roman"/>
                <w:b w:val="0"/>
                <w:sz w:val="21"/>
                <w:szCs w:val="21"/>
              </w:rPr>
              <w:t>与投标</w:t>
            </w:r>
            <w:r>
              <w:rPr>
                <w:rFonts w:ascii="Times New Roman" w:hAnsi="Times New Roman" w:cs="Times New Roman"/>
                <w:b w:val="0"/>
                <w:sz w:val="21"/>
                <w:szCs w:val="21"/>
              </w:rPr>
              <w:t>的相关约定</w:t>
            </w:r>
          </w:p>
        </w:tc>
        <w:tc>
          <w:tcPr>
            <w:tcW w:w="3622"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初审业绩要求（如有）</w:t>
            </w:r>
          </w:p>
        </w:tc>
        <w:tc>
          <w:tcPr>
            <w:tcW w:w="3622" w:type="pct"/>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投标人应按下列规定提供业绩证明资料：</w:t>
            </w:r>
          </w:p>
          <w:p>
            <w:pPr>
              <w:spacing w:line="360" w:lineRule="auto"/>
              <w:rPr>
                <w:rFonts w:ascii="Times New Roman" w:hAnsi="Times New Roman" w:cs="Times New Roman"/>
                <w:sz w:val="21"/>
                <w:szCs w:val="21"/>
              </w:rPr>
            </w:pPr>
            <w:r>
              <w:rPr>
                <w:rFonts w:ascii="Times New Roman" w:hAnsi="Times New Roman" w:cs="Times New Roman"/>
                <w:sz w:val="21"/>
                <w:szCs w:val="21"/>
              </w:rPr>
              <w:t>（1）合同；</w:t>
            </w:r>
          </w:p>
          <w:p>
            <w:pPr>
              <w:spacing w:line="360" w:lineRule="auto"/>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营业执照</w:t>
            </w:r>
            <w:r>
              <w:rPr>
                <w:rFonts w:ascii="Times New Roman" w:hAnsi="Times New Roman" w:cs="Times New Roman"/>
                <w:sz w:val="21"/>
                <w:szCs w:val="21"/>
              </w:rPr>
              <w:t>；</w:t>
            </w:r>
          </w:p>
          <w:p>
            <w:pPr>
              <w:spacing w:line="360" w:lineRule="auto"/>
              <w:rPr>
                <w:rFonts w:hint="default" w:ascii="Times New Roman" w:hAnsi="Times New Roman" w:eastAsia="宋体" w:cs="Times New Roman"/>
                <w:sz w:val="21"/>
                <w:szCs w:val="21"/>
                <w:lang w:val="en-US" w:eastAsia="zh-CN"/>
              </w:rPr>
            </w:pPr>
            <w:r>
              <w:rPr>
                <w:rFonts w:ascii="Times New Roman" w:hAnsi="Times New Roman" w:cs="Times New Roman"/>
                <w:sz w:val="21"/>
                <w:szCs w:val="21"/>
              </w:rPr>
              <w:t>（3）</w:t>
            </w:r>
            <w:r>
              <w:rPr>
                <w:rFonts w:hint="eastAsia" w:ascii="Times New Roman" w:hAnsi="Times New Roman" w:cs="Times New Roman"/>
                <w:sz w:val="21"/>
                <w:szCs w:val="21"/>
                <w:lang w:val="en-US" w:eastAsia="zh-CN"/>
              </w:rPr>
              <w:t>食品经营许可证。</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备注：</w:t>
            </w:r>
          </w:p>
          <w:p>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（1）业绩合同可提供包含甲乙方、项目名称、合同总金额、合同签订时间、合同供货范围、合同签字盖章页等关键内容的关键页的扫描件；</w:t>
            </w:r>
          </w:p>
          <w:p>
            <w:pPr>
              <w:numPr>
                <w:ilvl w:val="0"/>
                <w:numId w:val="0"/>
              </w:numPr>
              <w:spacing w:line="360" w:lineRule="auto"/>
              <w:rPr>
                <w:rFonts w:ascii="Times New Roman" w:hAnsi="Times New Roman" w:cs="Times New Roman"/>
                <w:sz w:val="21"/>
                <w:szCs w:val="21"/>
              </w:rPr>
            </w:pPr>
            <w:r>
              <w:rPr>
                <w:rFonts w:ascii="Times New Roman" w:hAnsi="Times New Roman" w:eastAsia="宋体" w:cs="Times New Roman"/>
                <w:sz w:val="21"/>
                <w:szCs w:val="21"/>
                <w:lang w:val="en-US" w:eastAsia="zh-CN" w:bidi="ar-SA"/>
              </w:rPr>
              <w:t>（2）</w:t>
            </w:r>
            <w:r>
              <w:rPr>
                <w:rFonts w:ascii="Times New Roman" w:hAnsi="Times New Roman" w:cs="Times New Roman"/>
                <w:bCs/>
                <w:snapToGrid w:val="0"/>
                <w:color w:val="000000"/>
                <w:sz w:val="21"/>
                <w:szCs w:val="21"/>
              </w:rPr>
              <w:t>以上涉及到的材料扫描件信息应完整或能充分反映评审因素。如均未能明确反映出</w:t>
            </w:r>
            <w:r>
              <w:rPr>
                <w:rFonts w:hint="eastAsia" w:ascii="Times New Roman" w:hAnsi="Times New Roman" w:cs="Times New Roman"/>
                <w:bCs/>
                <w:snapToGrid w:val="0"/>
                <w:color w:val="000000"/>
                <w:sz w:val="21"/>
                <w:szCs w:val="21"/>
              </w:rPr>
              <w:t>竞价</w:t>
            </w:r>
            <w:r>
              <w:rPr>
                <w:rFonts w:ascii="Times New Roman" w:hAnsi="Times New Roman" w:cs="Times New Roman"/>
                <w:bCs/>
                <w:snapToGrid w:val="0"/>
                <w:color w:val="000000"/>
                <w:sz w:val="21"/>
                <w:szCs w:val="21"/>
              </w:rPr>
              <w:t>文件所要求的内容的（如合同总金额、项目负责人名称等），应另附买方（或合同甲方）出具的证明资料予以明确说明。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33" w:type="pct"/>
            <w:vAlign w:val="center"/>
          </w:tcPr>
          <w:p>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hint="eastAsia" w:ascii="Times New Roman" w:hAnsi="Times New Roman" w:cs="Times New Roman"/>
                <w:bCs/>
                <w:color w:val="0D0D0D" w:themeColor="text1" w:themeTint="F2"/>
                <w:kern w:val="2"/>
                <w:sz w:val="21"/>
                <w:szCs w:val="21"/>
                <w:u w:val="single"/>
                <w:lang w:val="en-US" w:eastAsia="zh-CN"/>
                <w14:textFill>
                  <w14:solidFill>
                    <w14:schemeClr w14:val="tx1">
                      <w14:lumMod w14:val="95000"/>
                      <w14:lumOff w14:val="5000"/>
                    </w14:schemeClr>
                  </w14:solidFill>
                </w14:textFill>
              </w:rPr>
              <w:t>2024</w:t>
            </w:r>
            <w:r>
              <w:rPr>
                <w:rFonts w:ascii="Times New Roman" w:hAnsi="Times New Roman" w:cs="Times New Roman"/>
                <w:bCs/>
                <w:color w:val="0D0D0D" w:themeColor="text1" w:themeTint="F2"/>
                <w:kern w:val="2"/>
                <w:sz w:val="21"/>
                <w:szCs w:val="21"/>
                <w14:textFill>
                  <w14:solidFill>
                    <w14:schemeClr w14:val="tx1">
                      <w14:lumMod w14:val="95000"/>
                      <w14:lumOff w14:val="5000"/>
                    </w14:schemeClr>
                  </w14:solidFill>
                </w14:textFill>
              </w:rPr>
              <w:t>年</w:t>
            </w:r>
            <w:r>
              <w:rPr>
                <w:rFonts w:hint="eastAsia" w:ascii="Times New Roman" w:hAnsi="Times New Roman" w:cs="Times New Roman"/>
                <w:bCs/>
                <w:color w:val="0D0D0D" w:themeColor="text1" w:themeTint="F2"/>
                <w:kern w:val="2"/>
                <w:sz w:val="21"/>
                <w:szCs w:val="21"/>
                <w:u w:val="single"/>
                <w:lang w:val="en-US" w:eastAsia="zh-CN"/>
                <w14:textFill>
                  <w14:solidFill>
                    <w14:schemeClr w14:val="tx1">
                      <w14:lumMod w14:val="95000"/>
                      <w14:lumOff w14:val="5000"/>
                    </w14:schemeClr>
                  </w14:solidFill>
                </w14:textFill>
              </w:rPr>
              <w:t>06</w:t>
            </w:r>
            <w:r>
              <w:rPr>
                <w:rFonts w:ascii="Times New Roman" w:hAnsi="Times New Roman" w:cs="Times New Roman"/>
                <w:bCs/>
                <w:color w:val="0D0D0D" w:themeColor="text1" w:themeTint="F2"/>
                <w:kern w:val="2"/>
                <w:sz w:val="21"/>
                <w:szCs w:val="21"/>
                <w14:textFill>
                  <w14:solidFill>
                    <w14:schemeClr w14:val="tx1">
                      <w14:lumMod w14:val="95000"/>
                      <w14:lumOff w14:val="5000"/>
                    </w14:schemeClr>
                  </w14:solidFill>
                </w14:textFill>
              </w:rPr>
              <w:t>月</w:t>
            </w:r>
            <w:r>
              <w:rPr>
                <w:rFonts w:hint="eastAsia" w:ascii="Times New Roman" w:hAnsi="Times New Roman" w:cs="Times New Roman"/>
                <w:bCs/>
                <w:color w:val="0D0D0D" w:themeColor="text1" w:themeTint="F2"/>
                <w:kern w:val="2"/>
                <w:sz w:val="21"/>
                <w:szCs w:val="21"/>
                <w:u w:val="single"/>
                <w:lang w:val="en-US" w:eastAsia="zh-CN"/>
                <w14:textFill>
                  <w14:solidFill>
                    <w14:schemeClr w14:val="tx1">
                      <w14:lumMod w14:val="95000"/>
                      <w14:lumOff w14:val="5000"/>
                    </w14:schemeClr>
                  </w14:solidFill>
                </w14:textFill>
              </w:rPr>
              <w:t>02</w:t>
            </w:r>
            <w:r>
              <w:rPr>
                <w:rFonts w:ascii="Times New Roman" w:hAnsi="Times New Roman" w:cs="Times New Roman"/>
                <w:bCs/>
                <w:color w:val="0D0D0D" w:themeColor="text1" w:themeTint="F2"/>
                <w:kern w:val="2"/>
                <w:sz w:val="21"/>
                <w:szCs w:val="21"/>
                <w14:textFill>
                  <w14:solidFill>
                    <w14:schemeClr w14:val="tx1">
                      <w14:lumMod w14:val="95000"/>
                      <w14:lumOff w14:val="5000"/>
                    </w14:schemeClr>
                  </w14:solidFill>
                </w14:textFill>
              </w:rPr>
              <w:t>日</w:t>
            </w:r>
            <w:r>
              <w:rPr>
                <w:rFonts w:hint="eastAsia" w:ascii="Times New Roman" w:hAnsi="Times New Roman" w:cs="Times New Roman"/>
                <w:bCs/>
                <w:color w:val="0D0D0D" w:themeColor="text1" w:themeTint="F2"/>
                <w:kern w:val="2"/>
                <w:sz w:val="21"/>
                <w:szCs w:val="21"/>
                <w:u w:val="single"/>
                <w:lang w:val="en-US" w:eastAsia="zh-CN"/>
                <w14:textFill>
                  <w14:solidFill>
                    <w14:schemeClr w14:val="tx1">
                      <w14:lumMod w14:val="95000"/>
                      <w14:lumOff w14:val="5000"/>
                    </w14:schemeClr>
                  </w14:solidFill>
                </w14:textFill>
              </w:rPr>
              <w:t>17</w:t>
            </w:r>
            <w:r>
              <w:rPr>
                <w:rFonts w:ascii="Times New Roman" w:hAnsi="Times New Roman" w:cs="Times New Roman"/>
                <w:bCs/>
                <w:color w:val="0D0D0D" w:themeColor="text1" w:themeTint="F2"/>
                <w:kern w:val="2"/>
                <w:sz w:val="21"/>
                <w:szCs w:val="21"/>
                <w14:textFill>
                  <w14:solidFill>
                    <w14:schemeClr w14:val="tx1">
                      <w14:lumMod w14:val="95000"/>
                      <w14:lumOff w14:val="5000"/>
                    </w14:schemeClr>
                  </w14:solidFill>
                </w14:textFill>
              </w:rPr>
              <w:t>时</w:t>
            </w:r>
            <w:r>
              <w:rPr>
                <w:rFonts w:hint="eastAsia" w:ascii="Times New Roman" w:hAnsi="Times New Roman" w:cs="Times New Roman"/>
                <w:bCs/>
                <w:color w:val="0D0D0D" w:themeColor="text1" w:themeTint="F2"/>
                <w:kern w:val="2"/>
                <w:sz w:val="21"/>
                <w:szCs w:val="21"/>
                <w:u w:val="single"/>
                <w:lang w:val="en-US" w:eastAsia="zh-CN"/>
                <w14:textFill>
                  <w14:solidFill>
                    <w14:schemeClr w14:val="tx1">
                      <w14:lumMod w14:val="95000"/>
                      <w14:lumOff w14:val="5000"/>
                    </w14:schemeClr>
                  </w14:solidFill>
                </w14:textFill>
              </w:rPr>
              <w:t>00</w:t>
            </w:r>
            <w:r>
              <w:rPr>
                <w:rFonts w:ascii="Times New Roman" w:hAnsi="Times New Roman" w:cs="Times New Roman"/>
                <w:bCs/>
                <w:color w:val="0D0D0D" w:themeColor="text1" w:themeTint="F2"/>
                <w:kern w:val="2"/>
                <w:sz w:val="21"/>
                <w:szCs w:val="21"/>
                <w14:textFill>
                  <w14:solidFill>
                    <w14:schemeClr w14:val="tx1">
                      <w14:lumMod w14:val="95000"/>
                      <w14:lumOff w14:val="5000"/>
                    </w14:schemeClr>
                  </w14:solidFill>
                </w14:textFill>
              </w:rPr>
              <w:t>分</w:t>
            </w:r>
          </w:p>
          <w:p>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w:t>
            </w:r>
            <w:r>
              <w:rPr>
                <w:rFonts w:hint="eastAsia" w:ascii="Times New Roman" w:hAnsi="Times New Roman" w:cs="Times New Roman"/>
                <w:bCs/>
                <w:snapToGrid w:val="0"/>
                <w:color w:val="000000"/>
                <w:sz w:val="21"/>
                <w:szCs w:val="21"/>
                <w:lang w:val="en-US" w:eastAsia="zh-CN"/>
              </w:rPr>
              <w:t>574184515</w:t>
            </w:r>
            <w:r>
              <w:rPr>
                <w:rFonts w:ascii="Times New Roman" w:hAnsi="Times New Roman" w:cs="Times New Roman"/>
                <w:bCs/>
                <w:snapToGrid w:val="0"/>
                <w:color w:val="000000"/>
                <w:sz w:val="21"/>
                <w:szCs w:val="21"/>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22" w:type="pct"/>
            <w:vAlign w:val="center"/>
          </w:tcPr>
          <w:p>
            <w:pPr>
              <w:adjustRightInd w:val="0"/>
              <w:snapToGrid w:val="0"/>
              <w:spacing w:line="360" w:lineRule="auto"/>
              <w:jc w:val="left"/>
              <w:rPr>
                <w:rFonts w:ascii="Times New Roman" w:hAnsi="Times New Roman" w:cs="Times New Roman"/>
                <w:bCs/>
                <w:sz w:val="21"/>
                <w:szCs w:val="21"/>
              </w:rPr>
            </w:pPr>
            <w:r>
              <w:rPr>
                <w:rFonts w:hint="eastAsia" w:ascii="Times New Roman" w:hAnsi="Times New Roman" w:cs="Times New Roman"/>
                <w:bCs/>
                <w:sz w:val="21"/>
                <w:szCs w:val="21"/>
              </w:rPr>
              <w:t>□</w:t>
            </w:r>
            <w:r>
              <w:rPr>
                <w:rFonts w:ascii="Times New Roman" w:hAnsi="Times New Roman" w:cs="Times New Roman"/>
                <w:bCs/>
                <w:sz w:val="21"/>
                <w:szCs w:val="21"/>
              </w:rPr>
              <w:t>图纸</w:t>
            </w:r>
          </w:p>
          <w:p>
            <w:pPr>
              <w:adjustRightInd w:val="0"/>
              <w:snapToGrid w:val="0"/>
              <w:spacing w:line="360" w:lineRule="auto"/>
              <w:jc w:val="left"/>
              <w:rPr>
                <w:rFonts w:ascii="Times New Roman" w:hAnsi="Times New Roman" w:cs="Times New Roman"/>
                <w:bCs/>
                <w:sz w:val="21"/>
                <w:szCs w:val="21"/>
              </w:rPr>
            </w:pPr>
            <w:r>
              <w:rPr>
                <w:rFonts w:hint="eastAsia" w:ascii="Times New Roman" w:hAnsi="Times New Roman" w:cs="Times New Roman"/>
                <w:bCs/>
                <w:sz w:val="21"/>
                <w:szCs w:val="21"/>
                <w:lang w:eastAsia="zh-CN"/>
              </w:rPr>
              <w:t>☑</w:t>
            </w:r>
            <w:r>
              <w:rPr>
                <w:rFonts w:ascii="Times New Roman" w:hAnsi="Times New Roman" w:cs="Times New Roman"/>
                <w:bCs/>
                <w:sz w:val="21"/>
                <w:szCs w:val="21"/>
              </w:rPr>
              <w:t>采购清单</w:t>
            </w:r>
          </w:p>
          <w:p>
            <w:pPr>
              <w:adjustRightInd w:val="0"/>
              <w:snapToGrid w:val="0"/>
              <w:spacing w:line="360" w:lineRule="auto"/>
              <w:jc w:val="left"/>
              <w:rPr>
                <w:rFonts w:ascii="Times New Roman" w:hAnsi="Times New Roman" w:cs="Times New Roman"/>
                <w:bCs/>
                <w:sz w:val="21"/>
                <w:szCs w:val="21"/>
              </w:rPr>
            </w:pPr>
            <w:r>
              <w:rPr>
                <w:rFonts w:ascii="Times New Roman" w:hAnsi="Times New Roman" w:cs="Times New Roman"/>
                <w:bCs/>
                <w:sz w:val="21"/>
                <w:szCs w:val="21"/>
              </w:rPr>
              <w:t>获得方式：</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sz w:val="21"/>
                <w:szCs w:val="21"/>
              </w:rPr>
              <w:t>开标现场提交的其他材料要求</w:t>
            </w:r>
          </w:p>
        </w:tc>
        <w:tc>
          <w:tcPr>
            <w:tcW w:w="3622" w:type="pct"/>
            <w:vAlign w:val="center"/>
          </w:tcPr>
          <w:p>
            <w:pPr>
              <w:pStyle w:val="69"/>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rPr>
              <w:t>合肥文旅博览集团有限公司官网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4</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vAlign w:val="center"/>
          </w:tcPr>
          <w:p>
            <w:pPr>
              <w:snapToGrid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833" w:type="pct"/>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spacing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16</w:t>
            </w:r>
          </w:p>
        </w:tc>
        <w:tc>
          <w:tcPr>
            <w:tcW w:w="833" w:type="pct"/>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17</w:t>
            </w:r>
          </w:p>
        </w:tc>
        <w:tc>
          <w:tcPr>
            <w:tcW w:w="833"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18</w:t>
            </w:r>
          </w:p>
        </w:tc>
        <w:tc>
          <w:tcPr>
            <w:tcW w:w="833" w:type="pct"/>
            <w:vAlign w:val="center"/>
          </w:tcPr>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pPr>
              <w:pStyle w:val="69"/>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tc>
      </w:tr>
    </w:tbl>
    <w:p>
      <w:pPr>
        <w:pStyle w:val="117"/>
        <w:adjustRightInd w:val="0"/>
        <w:snapToGrid w:val="0"/>
        <w:spacing w:line="360" w:lineRule="auto"/>
        <w:rPr>
          <w:rFonts w:ascii="Times New Roman" w:hAnsi="Times New Roman"/>
          <w:b/>
          <w:sz w:val="24"/>
          <w:szCs w:val="24"/>
        </w:rPr>
      </w:pPr>
      <w:bookmarkStart w:id="4" w:name="_Toc4558"/>
    </w:p>
    <w:p>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（1）投标文件应装订成册、密封，并在封面注明招标编号、投标项目等，同时在密封处加盖骑缝章；投标文件要求：正、副本各一份。</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pPr>
        <w:spacing w:line="500" w:lineRule="exact"/>
        <w:jc w:val="left"/>
        <w:outlineLvl w:val="1"/>
        <w:rPr>
          <w:rFonts w:ascii="Times New Roman" w:hAnsi="Times New Roman" w:cs="Times New Roman" w:eastAsiaTheme="minorEastAsia"/>
          <w:b/>
          <w:sz w:val="24"/>
        </w:rPr>
      </w:pPr>
      <w:bookmarkStart w:id="32" w:name="_Toc27860"/>
      <w:bookmarkStart w:id="33" w:name="_Toc501460778"/>
      <w:bookmarkStart w:id="34" w:name="_Toc24421"/>
      <w:r>
        <w:rPr>
          <w:rFonts w:ascii="Times New Roman" w:hAnsi="Times New Roman" w:cs="Times New Roman" w:eastAsiaTheme="minorEastAsia"/>
          <w:b/>
          <w:sz w:val="24"/>
        </w:rPr>
        <w:t>一、项目概况</w:t>
      </w:r>
      <w:bookmarkEnd w:id="32"/>
      <w:bookmarkEnd w:id="33"/>
      <w:bookmarkEnd w:id="34"/>
    </w:p>
    <w:p>
      <w:pPr>
        <w:spacing w:line="500" w:lineRule="exact"/>
        <w:ind w:firstLine="359" w:firstLineChars="171"/>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1.投标人自行考虑“营改增”税收费用及风险，中标后须按国家相关规定缴纳税金并按委托人要求提供发票，费用含在本次投标总价中，中标后不作调整。</w:t>
      </w:r>
    </w:p>
    <w:p>
      <w:pPr>
        <w:spacing w:line="500" w:lineRule="exact"/>
        <w:ind w:firstLine="359" w:firstLineChars="171"/>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2.如对本招标文件有任何疑问或澄清要求，请按本招标文件“投标人须知前附表”中的约定方式联系安徽同稻餐饮管理有限公司，或接受答疑截止时间前联系招标人。否则视同理解和接受。</w:t>
      </w:r>
    </w:p>
    <w:p>
      <w:pPr>
        <w:spacing w:line="500" w:lineRule="exact"/>
        <w:jc w:val="left"/>
        <w:outlineLvl w:val="1"/>
        <w:rPr>
          <w:rFonts w:ascii="Times New Roman" w:hAnsi="Times New Roman" w:cs="Times New Roman" w:eastAsiaTheme="minorEastAsia"/>
          <w:b/>
          <w:sz w:val="24"/>
        </w:rPr>
      </w:pPr>
      <w:bookmarkStart w:id="35" w:name="_Toc501460779"/>
      <w:bookmarkStart w:id="36" w:name="_Toc9542"/>
      <w:bookmarkStart w:id="37" w:name="_Toc30199"/>
      <w:r>
        <w:rPr>
          <w:rFonts w:ascii="Times New Roman" w:hAnsi="Times New Roman" w:cs="Times New Roman" w:eastAsiaTheme="minorEastAsia"/>
          <w:b/>
          <w:sz w:val="24"/>
        </w:rPr>
        <w:t>二、货物需求一览表</w:t>
      </w:r>
      <w:bookmarkEnd w:id="35"/>
      <w:bookmarkEnd w:id="36"/>
      <w:bookmarkEnd w:id="37"/>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tbl>
      <w:tblPr>
        <w:tblStyle w:val="56"/>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17"/>
        <w:gridCol w:w="1050"/>
        <w:gridCol w:w="1350"/>
        <w:gridCol w:w="113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645" w:type="dxa"/>
            <w:vAlign w:val="center"/>
          </w:tcPr>
          <w:p>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序号</w:t>
            </w:r>
          </w:p>
        </w:tc>
        <w:tc>
          <w:tcPr>
            <w:tcW w:w="2317" w:type="dxa"/>
            <w:vAlign w:val="center"/>
          </w:tcPr>
          <w:p>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货物名称</w:t>
            </w:r>
          </w:p>
        </w:tc>
        <w:tc>
          <w:tcPr>
            <w:tcW w:w="1050" w:type="dxa"/>
            <w:vAlign w:val="center"/>
          </w:tcPr>
          <w:p>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规格</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全年预估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sz w:val="21"/>
                <w:szCs w:val="21"/>
                <w:lang w:eastAsia="zh-CN"/>
              </w:rPr>
            </w:pPr>
            <w:r>
              <w:rPr>
                <w:rFonts w:ascii="Times New Roman" w:hAnsi="Times New Roman" w:cs="Times New Roman"/>
                <w:b/>
                <w:sz w:val="21"/>
                <w:szCs w:val="21"/>
              </w:rPr>
              <w:t>数量</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件</w:t>
            </w:r>
            <w:r>
              <w:rPr>
                <w:rFonts w:hint="eastAsia" w:ascii="Times New Roman" w:hAnsi="Times New Roman" w:cs="Times New Roman"/>
                <w:b/>
                <w:sz w:val="21"/>
                <w:szCs w:val="21"/>
                <w:lang w:eastAsia="zh-CN"/>
              </w:rPr>
              <w:t>）</w:t>
            </w:r>
          </w:p>
        </w:tc>
        <w:tc>
          <w:tcPr>
            <w:tcW w:w="1133" w:type="dxa"/>
            <w:vAlign w:val="center"/>
          </w:tcPr>
          <w:p>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供货周期</w:t>
            </w:r>
          </w:p>
        </w:tc>
        <w:tc>
          <w:tcPr>
            <w:tcW w:w="1145" w:type="dxa"/>
            <w:vAlign w:val="center"/>
          </w:tcPr>
          <w:p>
            <w:pPr>
              <w:spacing w:line="500" w:lineRule="exact"/>
              <w:jc w:val="center"/>
              <w:rPr>
                <w:rFonts w:ascii="Times New Roman" w:hAnsi="Times New Roman" w:cs="Times New Roman"/>
                <w:b/>
                <w:sz w:val="21"/>
                <w:szCs w:val="21"/>
              </w:rPr>
            </w:pPr>
            <w:r>
              <w:rPr>
                <w:rFonts w:ascii="Times New Roman" w:hAnsi="Times New Roman" w:cs="Times New Roman"/>
                <w:b/>
                <w:sz w:val="21"/>
                <w:szCs w:val="21"/>
              </w:rPr>
              <w:t>供货地点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2317"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拉罐百事</w:t>
            </w:r>
          </w:p>
        </w:tc>
        <w:tc>
          <w:tcPr>
            <w:tcW w:w="1050"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133" w:type="dxa"/>
            <w:vMerge w:val="restart"/>
            <w:vAlign w:val="center"/>
          </w:tcPr>
          <w:p>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一年</w:t>
            </w:r>
          </w:p>
        </w:tc>
        <w:tc>
          <w:tcPr>
            <w:tcW w:w="1145" w:type="dxa"/>
            <w:vMerge w:val="restart"/>
            <w:vAlign w:val="center"/>
          </w:tcPr>
          <w:p>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2317"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拉罐七喜</w:t>
            </w:r>
          </w:p>
        </w:tc>
        <w:tc>
          <w:tcPr>
            <w:tcW w:w="1050"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2317"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拉罐美年达(橙味)</w:t>
            </w:r>
          </w:p>
        </w:tc>
        <w:tc>
          <w:tcPr>
            <w:tcW w:w="1050" w:type="dxa"/>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eastAsia" w:ascii="Times New Roman" w:hAnsi="Times New Roman" w:eastAsia="宋体" w:cs="Times New Roman"/>
                <w:sz w:val="21"/>
                <w:szCs w:val="21"/>
                <w:lang w:val="en-US" w:eastAsia="zh-CN"/>
              </w:rPr>
            </w:pPr>
            <w:bookmarkStart w:id="38" w:name="_Toc21575"/>
            <w:bookmarkStart w:id="39" w:name="_Toc501460780"/>
            <w:bookmarkStart w:id="40" w:name="_Toc29570"/>
            <w:r>
              <w:rPr>
                <w:rFonts w:hint="eastAsia" w:ascii="Times New Roman" w:hAnsi="Times New Roman" w:cs="Times New Roman"/>
                <w:sz w:val="21"/>
                <w:szCs w:val="21"/>
                <w:lang w:val="en-US" w:eastAsia="zh-CN"/>
              </w:rPr>
              <w:t>4</w:t>
            </w:r>
          </w:p>
        </w:tc>
        <w:tc>
          <w:tcPr>
            <w:tcW w:w="2317"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拉罐美年达(青苹果)</w:t>
            </w:r>
          </w:p>
        </w:tc>
        <w:tc>
          <w:tcPr>
            <w:tcW w:w="10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2317"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细长罐百事</w:t>
            </w:r>
          </w:p>
        </w:tc>
        <w:tc>
          <w:tcPr>
            <w:tcW w:w="10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2317"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细长罐七喜</w:t>
            </w:r>
          </w:p>
        </w:tc>
        <w:tc>
          <w:tcPr>
            <w:tcW w:w="10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细长罐美橙</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细长罐无糖</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600ml百事可乐</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600ml百事七喜</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600ml美年达橙</w:t>
            </w:r>
          </w:p>
        </w:tc>
        <w:tc>
          <w:tcPr>
            <w:tcW w:w="10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24</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600ml美年达苹果</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600ml美年达西瓜</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600ml美年达葡萄</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1.25升百事可乐</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1.25升七喜</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5" w:type="dxa"/>
            <w:vAlign w:val="center"/>
          </w:tcPr>
          <w:p>
            <w:pPr>
              <w:spacing w:line="50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w:t>
            </w:r>
          </w:p>
        </w:tc>
        <w:tc>
          <w:tcPr>
            <w:tcW w:w="2317"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1.25升美年达橙</w:t>
            </w:r>
          </w:p>
        </w:tc>
        <w:tc>
          <w:tcPr>
            <w:tcW w:w="1050" w:type="dxa"/>
            <w:vAlign w:val="center"/>
          </w:tcPr>
          <w:p>
            <w:pPr>
              <w:keepNext w:val="0"/>
              <w:keepLines w:val="0"/>
              <w:widowControl/>
              <w:suppressLineNumbers w:val="0"/>
              <w:jc w:val="center"/>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5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133" w:type="dxa"/>
            <w:vMerge w:val="continue"/>
            <w:vAlign w:val="center"/>
          </w:tcPr>
          <w:p>
            <w:pPr>
              <w:spacing w:line="500" w:lineRule="exact"/>
              <w:jc w:val="center"/>
              <w:rPr>
                <w:rFonts w:ascii="Times New Roman" w:hAnsi="Times New Roman" w:cs="Times New Roman"/>
                <w:sz w:val="21"/>
                <w:szCs w:val="21"/>
              </w:rPr>
            </w:pPr>
          </w:p>
        </w:tc>
        <w:tc>
          <w:tcPr>
            <w:tcW w:w="1145" w:type="dxa"/>
            <w:vMerge w:val="continue"/>
            <w:vAlign w:val="center"/>
          </w:tcPr>
          <w:p>
            <w:pPr>
              <w:spacing w:line="500" w:lineRule="exact"/>
              <w:jc w:val="center"/>
              <w:rPr>
                <w:rFonts w:ascii="Times New Roman" w:hAnsi="Times New Roman" w:cs="Times New Roman"/>
                <w:sz w:val="21"/>
                <w:szCs w:val="21"/>
              </w:rPr>
            </w:pPr>
          </w:p>
        </w:tc>
      </w:tr>
    </w:tbl>
    <w:p>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三、技术性能指标</w:t>
      </w:r>
      <w:bookmarkEnd w:id="38"/>
      <w:bookmarkEnd w:id="39"/>
      <w:bookmarkEnd w:id="40"/>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1.本供货要求提出的参数及要求为最低限度的要求，并未对一切细节做出规定，也未充分引述有关标准和规范的条文，投标人应保证提供符合或优于本参数及要求和有关标准、规范的优质产品。</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cs="Times New Roman"/>
          <w:szCs w:val="21"/>
        </w:rPr>
      </w:pPr>
      <w:r>
        <w:rPr>
          <w:rFonts w:hint="eastAsia" w:ascii="Times New Roman" w:hAnsi="Times New Roman" w:cs="Times New Roman"/>
          <w:color w:val="000000"/>
          <w:sz w:val="21"/>
          <w:szCs w:val="21"/>
          <w:lang w:val="en-US" w:eastAsia="zh-CN"/>
        </w:rPr>
        <w:t>3</w:t>
      </w:r>
      <w:r>
        <w:rPr>
          <w:rFonts w:ascii="Times New Roman" w:hAnsi="Times New Roman" w:cs="Times New Roman"/>
          <w:color w:val="000000"/>
          <w:sz w:val="21"/>
          <w:szCs w:val="21"/>
        </w:rPr>
        <w:t>.招标人保留在签订合同之前对本技术规格及要求进行补充和修改的权利，投标人应予以配合。</w:t>
      </w:r>
    </w:p>
    <w:p>
      <w:pPr>
        <w:spacing w:line="500" w:lineRule="exact"/>
        <w:jc w:val="left"/>
        <w:outlineLvl w:val="1"/>
        <w:rPr>
          <w:rFonts w:ascii="Times New Roman" w:hAnsi="Times New Roman" w:cs="Times New Roman" w:eastAsiaTheme="minorEastAsia"/>
          <w:b/>
          <w:sz w:val="24"/>
        </w:rPr>
      </w:pPr>
      <w:bookmarkStart w:id="41" w:name="_Toc12083"/>
      <w:bookmarkStart w:id="42" w:name="_Toc11782"/>
      <w:bookmarkStart w:id="43" w:name="_Toc501460781"/>
      <w:r>
        <w:rPr>
          <w:rFonts w:ascii="Times New Roman" w:hAnsi="Times New Roman" w:cs="Times New Roman" w:eastAsiaTheme="minorEastAsia"/>
          <w:b/>
          <w:sz w:val="24"/>
        </w:rPr>
        <w:t>四、检验考核要求</w:t>
      </w:r>
      <w:bookmarkEnd w:id="41"/>
      <w:bookmarkEnd w:id="42"/>
      <w:bookmarkEnd w:id="43"/>
    </w:p>
    <w:p>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所有产品的供货严格按照招标文件采购清单和技术要求进行，保证所供货产品质量及规格与招标文件中的清单及技术要求相一致，并符合国家、地方、行业相关的标准规范。</w:t>
      </w:r>
    </w:p>
    <w:p>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投标人所供产品均应满足招标文件技术要求，招标人未明确的产品材料均应达到国家或行业标准。所有用品须经委托人考察认可，方可供货。</w:t>
      </w:r>
    </w:p>
    <w:p>
      <w:pPr>
        <w:spacing w:line="500" w:lineRule="exact"/>
        <w:ind w:firstLine="420" w:firstLineChars="200"/>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eastAsia="宋体" w:cs="Times New Roman"/>
          <w:color w:val="000000"/>
          <w:sz w:val="21"/>
          <w:szCs w:val="21"/>
        </w:rPr>
        <w:t>所供产品将严格按招标文件技术要求中的材质进行验收。</w:t>
      </w:r>
    </w:p>
    <w:p>
      <w:pPr>
        <w:spacing w:line="500" w:lineRule="exact"/>
        <w:ind w:firstLine="420" w:firstLineChars="200"/>
        <w:rPr>
          <w:rFonts w:ascii="Times New Roman" w:hAnsi="Times New Roman" w:cs="Times New Roman"/>
        </w:rPr>
      </w:pPr>
      <w:r>
        <w:rPr>
          <w:rFonts w:hint="eastAsia" w:ascii="Times New Roman" w:hAnsi="Times New Roman" w:eastAsia="宋体" w:cs="Times New Roman"/>
          <w:color w:val="000000"/>
          <w:sz w:val="21"/>
          <w:szCs w:val="21"/>
        </w:rPr>
        <w:t>中标人所供产品的材质、尺寸、外观颜色等规格参数，要严格遵照招标人提供的要求</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供货的产品数量以货到现场，实收数量为准，如有缺失、破损，中标人无条件免费补货且不得影响招标方正常使用。</w:t>
      </w:r>
    </w:p>
    <w:p>
      <w:pPr>
        <w:spacing w:line="500" w:lineRule="exact"/>
        <w:jc w:val="left"/>
        <w:outlineLvl w:val="1"/>
        <w:rPr>
          <w:rFonts w:ascii="Times New Roman" w:hAnsi="Times New Roman" w:cs="Times New Roman" w:eastAsiaTheme="minorEastAsia"/>
          <w:b/>
          <w:sz w:val="24"/>
        </w:rPr>
      </w:pPr>
      <w:bookmarkStart w:id="44" w:name="_Toc11007"/>
      <w:bookmarkStart w:id="45" w:name="_Toc26887"/>
      <w:bookmarkStart w:id="46" w:name="_Toc501460782"/>
      <w:r>
        <w:rPr>
          <w:rFonts w:ascii="Times New Roman" w:hAnsi="Times New Roman" w:cs="Times New Roman" w:eastAsiaTheme="minorEastAsia"/>
          <w:b/>
          <w:sz w:val="24"/>
        </w:rPr>
        <w:t>五、技术服务和质保期服务要求</w:t>
      </w:r>
      <w:bookmarkEnd w:id="44"/>
      <w:bookmarkEnd w:id="45"/>
      <w:bookmarkEnd w:id="46"/>
    </w:p>
    <w:p>
      <w:pPr>
        <w:spacing w:line="500" w:lineRule="exact"/>
        <w:ind w:firstLine="359" w:firstLineChars="171"/>
        <w:rPr>
          <w:rFonts w:hint="eastAsia" w:ascii="Times New Roman" w:hAnsi="Times New Roman" w:eastAsia="宋体" w:cs="Times New Roman"/>
          <w:color w:val="000000"/>
          <w:sz w:val="21"/>
          <w:szCs w:val="21"/>
        </w:rPr>
      </w:pPr>
      <w:bookmarkStart w:id="47" w:name="_Toc4751"/>
      <w:bookmarkStart w:id="48" w:name="_Toc5940"/>
      <w:r>
        <w:rPr>
          <w:rFonts w:hint="eastAsia" w:ascii="Times New Roman" w:hAnsi="Times New Roman" w:eastAsia="宋体" w:cs="Times New Roman"/>
          <w:color w:val="000000"/>
          <w:sz w:val="21"/>
          <w:szCs w:val="21"/>
          <w:lang w:val="en-US" w:eastAsia="zh-CN"/>
        </w:rPr>
        <w:t>1.</w:t>
      </w:r>
      <w:r>
        <w:rPr>
          <w:rFonts w:hint="eastAsia" w:ascii="Times New Roman" w:hAnsi="Times New Roman" w:eastAsia="宋体" w:cs="Times New Roman"/>
          <w:color w:val="000000"/>
          <w:sz w:val="21"/>
          <w:szCs w:val="21"/>
        </w:rPr>
        <w:t>委托人对送货时间的要求：具体送货时间以委托人通知为准，按照委托人要求的品种和数量，保质保量将货物送达委托人指定地点，按照相关规定须进行卫生检验检疫的，应同时提供依法有效的该批货物经检验合格的证明，等待验收，委托人紧急需要的品种，必须在委托人临时通知后1小时内送至委托人指定地点。</w:t>
      </w:r>
    </w:p>
    <w:p>
      <w:pPr>
        <w:spacing w:line="500" w:lineRule="exact"/>
        <w:ind w:firstLine="359" w:firstLineChars="171"/>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2.在质保期内，如果商品或服务出现质量问题，供应商需要承担相应的责任。禁止提供不符合食品安全标准的食品或者经营明知是不符合食品安全标准的食品。</w:t>
      </w:r>
    </w:p>
    <w:p>
      <w:pPr>
        <w:spacing w:line="500" w:lineRule="exact"/>
        <w:ind w:firstLine="359" w:firstLineChars="171"/>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w:t>
      </w:r>
      <w:r>
        <w:rPr>
          <w:rFonts w:hint="eastAsia" w:ascii="Times New Roman" w:hAnsi="Times New Roman" w:eastAsia="宋体" w:cs="Times New Roman"/>
          <w:color w:val="000000"/>
          <w:sz w:val="21"/>
          <w:szCs w:val="21"/>
        </w:rPr>
        <w:t>供应商评估标准（具体以委托人考核办法为准）：供应商须承诺获得中选资格后，日常合作中遵守并执行委托人制定的供应商评估标准中的各项规定。</w:t>
      </w:r>
    </w:p>
    <w:p>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420" w:firstLineChars="200"/>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pPr>
        <w:spacing w:line="500" w:lineRule="exact"/>
        <w:jc w:val="left"/>
        <w:outlineLvl w:val="1"/>
        <w:rPr>
          <w:rFonts w:ascii="Times New Roman" w:hAnsi="Times New Roman" w:cs="Times New Roman" w:eastAsiaTheme="minorEastAsia"/>
          <w:b/>
          <w:sz w:val="24"/>
        </w:rPr>
      </w:pPr>
      <w:bookmarkStart w:id="49" w:name="_Toc19612"/>
      <w:r>
        <w:rPr>
          <w:rFonts w:ascii="Times New Roman" w:hAnsi="Times New Roman" w:cs="Times New Roman" w:eastAsiaTheme="minorEastAsia"/>
          <w:b/>
          <w:sz w:val="24"/>
        </w:rPr>
        <w:t>八、付款方式</w:t>
      </w:r>
      <w:bookmarkEnd w:id="49"/>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bookmarkStart w:id="50" w:name="_Toc27891"/>
      <w:r>
        <w:rPr>
          <w:rFonts w:hint="eastAsia" w:ascii="宋体" w:hAnsi="宋体" w:cs="宋体"/>
          <w:color w:val="000000"/>
          <w:szCs w:val="21"/>
        </w:rPr>
        <w:t>采用如下第【</w:t>
      </w:r>
      <w:r>
        <w:rPr>
          <w:rFonts w:hint="eastAsia" w:cs="宋体"/>
          <w:color w:val="000000"/>
          <w:szCs w:val="21"/>
          <w:lang w:val="en-US" w:eastAsia="zh-CN"/>
        </w:rPr>
        <w:t>2</w:t>
      </w:r>
      <w:r>
        <w:rPr>
          <w:rFonts w:hint="eastAsia" w:ascii="宋体" w:hAnsi="宋体" w:cs="宋体"/>
          <w:color w:val="000000"/>
          <w:szCs w:val="21"/>
        </w:rPr>
        <w:t>】 种方式：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（1）一次性支付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产品到货并经</w:t>
      </w:r>
      <w:r>
        <w:rPr>
          <w:rFonts w:hint="eastAsia" w:ascii="宋体" w:hAnsi="宋体" w:cs="宋体"/>
          <w:color w:val="000000"/>
          <w:szCs w:val="21"/>
          <w:lang w:val="en-US" w:eastAsia="zh-CN"/>
        </w:rPr>
        <w:t>招标人</w:t>
      </w:r>
      <w:r>
        <w:rPr>
          <w:rFonts w:hint="eastAsia" w:ascii="宋体" w:hAnsi="宋体" w:cs="宋体"/>
          <w:color w:val="000000"/>
          <w:szCs w:val="21"/>
        </w:rPr>
        <w:t>验收合格后【 】个工作日内支付完毕合同总价款。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ascii="宋体" w:hAnsi="宋体" w:cs="宋体"/>
          <w:color w:val="000000"/>
          <w:szCs w:val="21"/>
        </w:rPr>
      </w:pPr>
      <w:r>
        <w:rPr>
          <w:rFonts w:hint="eastAsia" w:ascii="宋体" w:hAnsi="宋体" w:cs="宋体"/>
          <w:color w:val="000000"/>
          <w:szCs w:val="21"/>
        </w:rPr>
        <w:t>（2）分期支付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00" w:firstLineChars="200"/>
        <w:textAlignment w:val="auto"/>
        <w:rPr>
          <w:rFonts w:hint="eastAsia" w:ascii="宋体" w:hAnsi="宋体" w:cs="宋体"/>
          <w:color w:val="000000"/>
          <w:szCs w:val="21"/>
        </w:rPr>
      </w:pPr>
      <w:r>
        <w:rPr>
          <w:rFonts w:hint="eastAsia" w:ascii="宋体" w:hAnsi="宋体" w:cs="宋体"/>
          <w:color w:val="000000"/>
          <w:szCs w:val="21"/>
        </w:rPr>
        <w:t>采取</w:t>
      </w:r>
      <w:r>
        <w:rPr>
          <w:rFonts w:hint="eastAsia" w:ascii="宋体" w:hAnsi="宋体" w:cs="宋体"/>
          <w:color w:val="000000"/>
          <w:szCs w:val="21"/>
          <w:lang w:val="en-US" w:eastAsia="zh-CN"/>
        </w:rPr>
        <w:t>次</w:t>
      </w:r>
      <w:r>
        <w:rPr>
          <w:rFonts w:hint="eastAsia" w:ascii="宋体" w:hAnsi="宋体" w:cs="宋体"/>
          <w:color w:val="000000"/>
          <w:szCs w:val="21"/>
        </w:rPr>
        <w:t>月付款，如</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月货款，</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02</w:t>
      </w:r>
      <w:r>
        <w:rPr>
          <w:rFonts w:hint="eastAsia" w:ascii="宋体" w:hAnsi="宋体" w:cs="宋体"/>
          <w:color w:val="000000"/>
          <w:szCs w:val="21"/>
        </w:rPr>
        <w:t>月给予支付。货款支付前，中标人按照委托人审核确认后的金额（具体金额存在分歧则以委托人能够做出合理说明的金额为准）提供增值税</w:t>
      </w:r>
      <w:r>
        <w:rPr>
          <w:rFonts w:hint="eastAsia" w:ascii="宋体" w:hAnsi="宋体" w:cs="宋体"/>
          <w:color w:val="000000"/>
          <w:szCs w:val="21"/>
          <w:lang w:val="en-US" w:eastAsia="zh-CN"/>
        </w:rPr>
        <w:t>专用</w:t>
      </w:r>
      <w:r>
        <w:rPr>
          <w:rFonts w:hint="eastAsia" w:ascii="宋体" w:hAnsi="宋体" w:cs="宋体"/>
          <w:color w:val="000000"/>
          <w:szCs w:val="21"/>
        </w:rPr>
        <w:t xml:space="preserve">发票，若供应商未能提供，则采购方有权不支付货款且不承担任何违约责任同时不免除供应商应当承担的相关义务。      </w:t>
      </w:r>
    </w:p>
    <w:p>
      <w:pPr>
        <w:pStyle w:val="69"/>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2"/>
          <w:u w:val="single"/>
        </w:rPr>
      </w:pPr>
      <w:r>
        <w:rPr>
          <w:rFonts w:hint="eastAsia" w:ascii="Times New Roman" w:hAnsi="Times New Roman"/>
          <w:sz w:val="21"/>
          <w:szCs w:val="22"/>
          <w:u w:val="single"/>
        </w:rPr>
        <w:t>在</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付款前，中标人需向</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交付等额的增值税专用发票，否则</w:t>
      </w:r>
      <w:r>
        <w:rPr>
          <w:rFonts w:hint="eastAsia" w:ascii="Times New Roman" w:hAnsi="Times New Roman"/>
          <w:sz w:val="21"/>
          <w:szCs w:val="22"/>
          <w:u w:val="single"/>
          <w:lang w:eastAsia="zh-CN"/>
        </w:rPr>
        <w:t>招标人</w:t>
      </w:r>
      <w:r>
        <w:rPr>
          <w:rFonts w:hint="eastAsia" w:ascii="Times New Roman" w:hAnsi="Times New Roman"/>
          <w:sz w:val="21"/>
          <w:szCs w:val="22"/>
          <w:u w:val="single"/>
        </w:rPr>
        <w:t>有权拒绝或者延迟付款，且不承担违约责任。</w:t>
      </w:r>
    </w:p>
    <w:p>
      <w:pPr>
        <w:spacing w:line="500" w:lineRule="exact"/>
        <w:rPr>
          <w:rFonts w:ascii="Times New Roman" w:hAnsi="Times New Roman" w:cs="Times New Roman" w:eastAsiaTheme="minorEastAsia"/>
          <w:b/>
          <w:sz w:val="24"/>
        </w:rPr>
      </w:pPr>
      <w:r>
        <w:rPr>
          <w:b/>
          <w:bCs/>
        </w:rPr>
        <w:t>投标人提交的投标文件中如有关于付款条件的表述与</w:t>
      </w:r>
      <w:r>
        <w:rPr>
          <w:rFonts w:hint="eastAsia"/>
          <w:b/>
          <w:bCs/>
          <w:lang w:val="en-US" w:eastAsia="zh-CN"/>
        </w:rPr>
        <w:t>竞价</w:t>
      </w:r>
      <w:r>
        <w:rPr>
          <w:b/>
          <w:bCs/>
        </w:rPr>
        <w:t>文件规定不符，投标无效。</w:t>
      </w:r>
      <w:bookmarkEnd w:id="50"/>
    </w:p>
    <w:p>
      <w:r>
        <w:br w:type="page"/>
      </w:r>
    </w:p>
    <w:p>
      <w:pPr>
        <w:spacing w:line="360" w:lineRule="auto"/>
        <w:jc w:val="center"/>
        <w:outlineLvl w:val="0"/>
        <w:rPr>
          <w:rFonts w:ascii="Times New Roman" w:hAnsi="Times New Roman" w:cs="Times New Roman" w:eastAsiaTheme="minorEastAsia"/>
          <w:b/>
          <w:sz w:val="28"/>
        </w:rPr>
      </w:pPr>
      <w:bookmarkStart w:id="51" w:name="_Toc6418"/>
      <w:r>
        <w:rPr>
          <w:rFonts w:ascii="Times New Roman" w:hAnsi="Times New Roman" w:cs="Times New Roman" w:eastAsiaTheme="minorEastAsia"/>
          <w:b/>
          <w:sz w:val="28"/>
        </w:rPr>
        <w:t>第四章  评审方法和标准</w:t>
      </w:r>
      <w:bookmarkEnd w:id="51"/>
    </w:p>
    <w:p>
      <w:pPr>
        <w:spacing w:line="360" w:lineRule="auto"/>
        <w:ind w:firstLine="437"/>
        <w:outlineLvl w:val="1"/>
        <w:rPr>
          <w:rFonts w:ascii="Times New Roman" w:hAnsi="Times New Roman" w:cs="Times New Roman" w:eastAsiaTheme="minorEastAsia"/>
          <w:b/>
          <w:sz w:val="24"/>
        </w:rPr>
      </w:pPr>
      <w:bookmarkStart w:id="52" w:name="_Toc32420"/>
      <w:r>
        <w:rPr>
          <w:rFonts w:ascii="Times New Roman" w:hAnsi="Times New Roman" w:cs="Times New Roman" w:eastAsiaTheme="minorEastAsia"/>
          <w:b/>
          <w:sz w:val="24"/>
        </w:rPr>
        <w:t>一、总则</w:t>
      </w:r>
      <w:bookmarkEnd w:id="52"/>
    </w:p>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pPr>
        <w:spacing w:line="360" w:lineRule="auto"/>
        <w:ind w:firstLine="437"/>
        <w:outlineLvl w:val="1"/>
        <w:rPr>
          <w:rFonts w:ascii="Times New Roman" w:hAnsi="Times New Roman" w:cs="Times New Roman" w:eastAsiaTheme="minorEastAsia"/>
          <w:b/>
          <w:sz w:val="24"/>
        </w:rPr>
      </w:pPr>
      <w:bookmarkStart w:id="53" w:name="_Toc4219"/>
      <w:r>
        <w:rPr>
          <w:rFonts w:ascii="Times New Roman" w:hAnsi="Times New Roman" w:cs="Times New Roman" w:eastAsiaTheme="minorEastAsia"/>
          <w:b/>
          <w:sz w:val="24"/>
        </w:rPr>
        <w:t>二、评审方法</w:t>
      </w:r>
      <w:bookmarkEnd w:id="53"/>
    </w:p>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3" w:type="pct"/>
            <w:tcBorders>
              <w:bottom w:val="single" w:color="auto" w:sz="4" w:space="0"/>
            </w:tcBorders>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联合协议（如要求）</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格式、填写要求符合</w:t>
            </w:r>
            <w:r>
              <w:rPr>
                <w:rFonts w:hint="eastAsia" w:ascii="Times New Roman" w:hAnsi="Times New Roman" w:cs="Times New Roman"/>
                <w:kern w:val="2"/>
                <w:sz w:val="21"/>
                <w:szCs w:val="21"/>
              </w:rPr>
              <w:t>竞价</w:t>
            </w:r>
            <w:r>
              <w:rPr>
                <w:rFonts w:ascii="Times New Roman" w:hAnsi="Times New Roman"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3283" w:type="pct"/>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5</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项目负责人资格要求</w:t>
            </w:r>
          </w:p>
        </w:tc>
        <w:tc>
          <w:tcPr>
            <w:tcW w:w="3283" w:type="pct"/>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6</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7</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8</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hint="eastAsia" w:ascii="Times New Roman" w:hAnsi="Times New Roman" w:cs="Times New Roman"/>
                <w:kern w:val="2"/>
                <w:sz w:val="21"/>
                <w:szCs w:val="21"/>
              </w:rPr>
              <w:t>9</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r>
              <w:rPr>
                <w:rFonts w:hint="eastAsia" w:ascii="Times New Roman" w:hAnsi="Times New Roman" w:cs="Times New Roman"/>
                <w:kern w:val="2"/>
                <w:sz w:val="21"/>
                <w:szCs w:val="21"/>
              </w:rPr>
              <w:t>0</w:t>
            </w:r>
          </w:p>
        </w:tc>
        <w:tc>
          <w:tcPr>
            <w:tcW w:w="1304"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3"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pPr>
        <w:spacing w:line="360" w:lineRule="auto"/>
        <w:ind w:firstLine="437"/>
        <w:outlineLvl w:val="1"/>
        <w:rPr>
          <w:rFonts w:ascii="Times New Roman" w:hAnsi="Times New Roman" w:cs="Times New Roman" w:eastAsiaTheme="minorEastAsia"/>
          <w:b/>
          <w:sz w:val="24"/>
        </w:rPr>
      </w:pPr>
      <w:bookmarkStart w:id="54" w:name="_Toc4545"/>
      <w:r>
        <w:rPr>
          <w:rFonts w:ascii="Times New Roman" w:hAnsi="Times New Roman" w:cs="Times New Roman" w:eastAsiaTheme="minorEastAsia"/>
          <w:b/>
          <w:sz w:val="24"/>
        </w:rPr>
        <w:t>三、评审程序</w:t>
      </w:r>
      <w:bookmarkEnd w:id="54"/>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.评审小组应当要求所有实质性响应的投标人在规定时间内提交最终投标报价。</w:t>
      </w:r>
    </w:p>
    <w:p>
      <w:pPr>
        <w:spacing w:line="360" w:lineRule="auto"/>
        <w:ind w:firstLine="437"/>
        <w:outlineLvl w:val="1"/>
        <w:rPr>
          <w:rFonts w:ascii="Times New Roman" w:hAnsi="Times New Roman" w:cs="Times New Roman" w:eastAsiaTheme="minorEastAsia"/>
          <w:b/>
          <w:sz w:val="24"/>
        </w:rPr>
      </w:pPr>
      <w:bookmarkStart w:id="55" w:name="_Toc11842"/>
      <w:r>
        <w:rPr>
          <w:rFonts w:ascii="Times New Roman" w:hAnsi="Times New Roman" w:cs="Times New Roman" w:eastAsiaTheme="minorEastAsia"/>
          <w:b/>
          <w:sz w:val="24"/>
        </w:rPr>
        <w:t>四、相关说明。</w:t>
      </w:r>
      <w:bookmarkEnd w:id="55"/>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Pr>
        <w:rPr>
          <w:rFonts w:ascii="Times New Roman" w:hAnsi="Times New Roman" w:cs="Times New Roman"/>
          <w:sz w:val="16"/>
          <w:szCs w:val="16"/>
        </w:rPr>
      </w:pPr>
    </w:p>
    <w:p>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pPr>
        <w:spacing w:before="312" w:after="156" w:line="360" w:lineRule="auto"/>
        <w:ind w:firstLine="562"/>
        <w:jc w:val="center"/>
        <w:outlineLvl w:val="0"/>
        <w:rPr>
          <w:rFonts w:ascii="Times New Roman" w:hAnsi="Times New Roman" w:cs="Times New Roman" w:eastAsiaTheme="minorEastAsia"/>
          <w:b/>
          <w:sz w:val="28"/>
        </w:rPr>
      </w:pPr>
      <w:bookmarkStart w:id="56"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7" w:name="_Toc27059"/>
      <w:r>
        <w:rPr>
          <w:rFonts w:ascii="Times New Roman" w:hAnsi="Times New Roman" w:cs="Times New Roman" w:eastAsiaTheme="minorEastAsia"/>
          <w:b/>
          <w:sz w:val="28"/>
        </w:rPr>
        <w:t>合同</w:t>
      </w:r>
      <w:bookmarkEnd w:id="57"/>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58" w:name="_Hlk47980575"/>
      <w:r>
        <w:rPr>
          <w:rFonts w:hint="eastAsia" w:asciiTheme="minorEastAsia" w:hAnsiTheme="minorEastAsia" w:eastAsiaTheme="minorEastAsia" w:cstheme="minorEastAsia"/>
          <w:b/>
          <w:bCs/>
          <w:color w:val="000000"/>
          <w:sz w:val="21"/>
          <w:szCs w:val="21"/>
        </w:rPr>
        <w:t>需方（以下简称甲方）：</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电话：     </w:t>
      </w:r>
      <w:r>
        <w:rPr>
          <w:rFonts w:hint="eastAsia" w:asciiTheme="minorEastAsia" w:hAnsiTheme="minorEastAsia" w:eastAsiaTheme="minorEastAsia" w:cstheme="minorEastAsia"/>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供方（以下简称乙方）：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单位负责人：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电话：      </w:t>
      </w:r>
      <w:bookmarkEnd w:id="58"/>
      <w:r>
        <w:rPr>
          <w:rFonts w:hint="eastAsia" w:asciiTheme="minorEastAsia" w:hAnsiTheme="minorEastAsia" w:eastAsiaTheme="minorEastAsia" w:cstheme="minorEastAsia"/>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w:t>
      </w:r>
      <w:r>
        <w:rPr>
          <w:rFonts w:hint="eastAsia" w:asciiTheme="minorEastAsia" w:hAnsiTheme="minorEastAsia" w:eastAsiaTheme="minorEastAsia" w:cstheme="minorEastAsia"/>
          <w:color w:val="000000"/>
          <w:sz w:val="21"/>
          <w:szCs w:val="21"/>
          <w:lang w:val="en-US" w:eastAsia="zh-CN"/>
        </w:rPr>
        <w:t>软饮类</w:t>
      </w:r>
      <w:r>
        <w:rPr>
          <w:rFonts w:hint="eastAsia" w:asciiTheme="minorEastAsia" w:hAnsiTheme="minorEastAsia" w:eastAsiaTheme="minorEastAsia" w:cstheme="minorEastAsia"/>
          <w:color w:val="000000"/>
          <w:sz w:val="21"/>
          <w:szCs w:val="21"/>
        </w:rPr>
        <w:t>】采购事项协商一致，订立本合同。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采购内容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1.1品牌、型号、数量、单价及配置</w:t>
      </w:r>
    </w:p>
    <w:tbl>
      <w:tblPr>
        <w:tblStyle w:val="56"/>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850"/>
        <w:gridCol w:w="709"/>
        <w:gridCol w:w="850"/>
        <w:gridCol w:w="709"/>
        <w:gridCol w:w="1446"/>
        <w:gridCol w:w="96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序号</w:t>
            </w:r>
          </w:p>
        </w:tc>
        <w:tc>
          <w:tcPr>
            <w:tcW w:w="113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产品名称</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规格型号</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产地</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生产厂家</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计量</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单位</w:t>
            </w:r>
          </w:p>
        </w:tc>
        <w:tc>
          <w:tcPr>
            <w:tcW w:w="144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数量（暂定）</w:t>
            </w: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单价（元）</w:t>
            </w: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暂定金额（元）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44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99"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 xml:space="preserve">暂定合计人民币金额（大写）：                 （小写）： </w:t>
            </w:r>
          </w:p>
        </w:tc>
      </w:tr>
    </w:tbl>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1.2甲方有权根据自身需求调整产品数量，但需在乙方发货前及时通知乙方，并根据清单价格与乙方据实结算。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1.3双方确认，本合同的签订，并不意味着本采购项目所需的产品全部由乙方供应，甲方有权根据实际情况另行向其他供应方采购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 合同总额暂定为：人民币(大写)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】元(小写￥【  】元), </w:t>
      </w:r>
      <w:bookmarkStart w:id="59" w:name="_Hlk49083348"/>
      <w:r>
        <w:rPr>
          <w:rFonts w:hint="eastAsia" w:asciiTheme="minorEastAsia" w:hAnsiTheme="minorEastAsia" w:eastAsiaTheme="minorEastAsia" w:cstheme="minorEastAsia"/>
          <w:color w:val="000000"/>
          <w:sz w:val="21"/>
          <w:szCs w:val="21"/>
        </w:rPr>
        <w:t>最终按本合同约定的单价和甲方确认的乙方实际供货、安装数量据实结算。本合同单价一次性包死，固定不变，不因包括市场价格涨落、履行期调整等任何因素而调整。合同单价包括</w:t>
      </w:r>
      <w:bookmarkEnd w:id="59"/>
      <w:r>
        <w:rPr>
          <w:rFonts w:hint="eastAsia" w:asciiTheme="minorEastAsia" w:hAnsiTheme="minorEastAsia" w:eastAsiaTheme="minorEastAsia" w:cstheme="minorEastAsia"/>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2.2合同价款的支付：采用如下第【</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种方式：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（1）一次性支付</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产品到货并经甲方验收合格后【 】个工作日内支付完毕合同总价款。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（2）分期支付</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宋体" w:hAnsi="宋体" w:cs="宋体"/>
          <w:color w:val="000000"/>
          <w:szCs w:val="21"/>
        </w:rPr>
        <w:t>采取</w:t>
      </w:r>
      <w:r>
        <w:rPr>
          <w:rFonts w:hint="eastAsia" w:ascii="宋体" w:hAnsi="宋体" w:cs="宋体"/>
          <w:color w:val="000000"/>
          <w:szCs w:val="21"/>
          <w:lang w:val="en-US" w:eastAsia="zh-CN"/>
        </w:rPr>
        <w:t>次</w:t>
      </w:r>
      <w:r>
        <w:rPr>
          <w:rFonts w:hint="eastAsia" w:ascii="宋体" w:hAnsi="宋体" w:cs="宋体"/>
          <w:color w:val="000000"/>
          <w:szCs w:val="21"/>
        </w:rPr>
        <w:t>月付款，如</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月货款，</w:t>
      </w:r>
      <w:r>
        <w:rPr>
          <w:rFonts w:hint="eastAsia" w:ascii="宋体" w:hAnsi="宋体" w:cs="宋体"/>
          <w:color w:val="000000"/>
          <w:szCs w:val="21"/>
          <w:lang w:val="en-US" w:eastAsia="zh-CN"/>
        </w:rPr>
        <w:t>2024</w:t>
      </w:r>
      <w:r>
        <w:rPr>
          <w:rFonts w:hint="eastAsia" w:ascii="宋体" w:hAnsi="宋体" w:cs="宋体"/>
          <w:color w:val="000000"/>
          <w:szCs w:val="21"/>
        </w:rPr>
        <w:t>年</w:t>
      </w:r>
      <w:r>
        <w:rPr>
          <w:rFonts w:hint="eastAsia" w:ascii="宋体" w:hAnsi="宋体" w:cs="宋体"/>
          <w:color w:val="000000"/>
          <w:szCs w:val="21"/>
          <w:lang w:val="en-US" w:eastAsia="zh-CN"/>
        </w:rPr>
        <w:t>02</w:t>
      </w:r>
      <w:r>
        <w:rPr>
          <w:rFonts w:hint="eastAsia" w:ascii="宋体" w:hAnsi="宋体" w:cs="宋体"/>
          <w:color w:val="000000"/>
          <w:szCs w:val="21"/>
        </w:rPr>
        <w:t>月给予支付。货款支付前，中标人按照委托人审核确认后的金额（具体金额存在分歧则以委托人能够做出合理说明的金额为准）提供增值税</w:t>
      </w:r>
      <w:r>
        <w:rPr>
          <w:rFonts w:hint="eastAsia" w:ascii="宋体" w:hAnsi="宋体" w:cs="宋体"/>
          <w:color w:val="000000"/>
          <w:szCs w:val="21"/>
          <w:lang w:val="en-US" w:eastAsia="zh-CN"/>
        </w:rPr>
        <w:t>专用</w:t>
      </w:r>
      <w:r>
        <w:rPr>
          <w:rFonts w:hint="eastAsia" w:ascii="宋体" w:hAnsi="宋体" w:cs="宋体"/>
          <w:color w:val="000000"/>
          <w:szCs w:val="21"/>
        </w:rPr>
        <w:t xml:space="preserve">发票，若供应商未能提供，则采购方有权不支付货款且不承担任何违约责任同时不免除供应商应当承担的相关义务。 </w:t>
      </w:r>
      <w:r>
        <w:rPr>
          <w:rFonts w:hint="eastAsia" w:asciiTheme="minorEastAsia" w:hAnsiTheme="minorEastAsia" w:eastAsiaTheme="minorEastAsia" w:cstheme="minorEastAsia"/>
          <w:color w:val="000000"/>
          <w:sz w:val="21"/>
          <w:szCs w:val="21"/>
        </w:rPr>
        <w:t xml:space="preserve">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2.4乙方指定收款账户信息如下：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 履约保证金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2.6.1履约保证金数额：中标价的 【】％，即合同暂定总价款的【】%为【】元（大写：【】元整）。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2.6.2担保形式：□现金保证 □现金支票 □银行汇票</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□银行保函☑银行转账 □工程担保  □保证保险</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2.6.3收受人为:□招标人、委托人</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2.6.4退还：全部工程施工完毕,经验收合格后30日内一次性退还（无息）</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质量要求和技术标准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0" w:name="_Hlk49083391"/>
      <w:r>
        <w:rPr>
          <w:rFonts w:hint="eastAsia" w:asciiTheme="minorEastAsia" w:hAnsiTheme="minorEastAsia" w:eastAsiaTheme="minorEastAsia" w:cstheme="minorEastAsia"/>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60"/>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3.3包装：按生产商的标准包装，且应符合国家有关标准要求，并保证货物运抵现场时不受任何损坏。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货物的包装和交货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4.1乙方负责装货、运输，将货物安全运抵交货目的地并卸载。</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4.2交货期：合同签订生效后【 】日历日内。甲方有权延迟交货期，但需要提前24小时通知乙方。乙方在每批货物抵达货物交货目的地24小时前通知甲方接货。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4.3交货目的地：甲方指定地点。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4.6货物的包装应符合国家的规定，并确保安全、卫生后，才交甲方使用。产品包装须保护产品完整、不受损伤，包装物不回收。</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4.7货物的包装之标识应符合中华人民共和国法律、法规等对有关标的说明、产地、原材料、用途、警语、保质期及保质条件等之规定，否则甲方有权拒收。</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验收</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5.1货物送达到甲方指定地点后，甲方按照产品清单对货物的数量和外观进行验货；如发现产品与合同约定不符，或货物有破损、缺件以及其他不符合质量约定的情形等，乙方应及时按甲方要求处理。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5.2货物到达现场后，乙方应按甲方安排的时间派人到现场进行开箱检验。如乙方不能按时到达现场，又无函电通知时，甲方有权开箱检验，并对缺件、质量损坏情况做出记录。</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货物的保证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乙方对其按合同向甲方提供的全部货物及服务保证如下：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6.1货物是采用优质材料及先进工艺所制造的原厂出品的新品。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6.2货物在原产地、质量、规格及性能等方面符合本合同有关规定的要求。</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6.4甲方在中华人民共和国境内使用本合同项目下的货物及服务不侵犯任何第三方的专利权、商标使用权、工业设计权及其他权益。</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退货和换货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 w:val="21"/>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 w:val="21"/>
          <w:szCs w:val="21"/>
        </w:rPr>
        <w:t>1日，应当按照乙方逾期退款金额的万分之四向甲方支付违约金。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7.3在货物</w:t>
      </w:r>
      <w:r>
        <w:rPr>
          <w:rFonts w:hint="eastAsia" w:asciiTheme="minorEastAsia" w:hAnsiTheme="minorEastAsia" w:eastAsiaTheme="minorEastAsia" w:cstheme="minorEastAsia"/>
          <w:color w:val="000000"/>
          <w:sz w:val="21"/>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7.4 本合同项下货物的质保期为：从货物交付并经验收合格之日起     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8.1乙方未按本合同约定日期按时供货，每延期一天，向甲方支付该批货物合同价款的千分之一的违约金，延期超20天的，甲方有权解除本合同。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 w:val="21"/>
          <w:szCs w:val="21"/>
        </w:rPr>
        <w:t>20%作为违约金</w:t>
      </w:r>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8.3乙方违反本合同其他约定，经甲方催告后10日内仍未整改的，甲方有权解除合同。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1" w:name="_Hlk49085556"/>
      <w:r>
        <w:rPr>
          <w:rFonts w:hint="eastAsia" w:asciiTheme="minorEastAsia" w:hAnsiTheme="minorEastAsia" w:eastAsiaTheme="minorEastAsia" w:cstheme="minorEastAsia"/>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1"/>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8.5 因乙方原因导致本合同解除的，乙方应当退还甲方已经支付的货款，且乙方应当按照合同总价款的20%向甲方支付违约金，违约金不足以弥补甲方损失的，乙方应当赔偿甲方因此遭受的损失。</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2" w:name="_Hlk49085594"/>
      <w:r>
        <w:rPr>
          <w:rFonts w:hint="eastAsia" w:asciiTheme="minorEastAsia" w:hAnsiTheme="minorEastAsia" w:eastAsiaTheme="minorEastAsia" w:cstheme="minorEastAsia"/>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62"/>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知识产权及保密条款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 乙方应采取必要措施保证其员工无论是在职中还是离职后均承担同样的保密义务。</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 本协议变更、解除和终止后保密条款对双方仍有约束力。</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不可抗力</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w:t>
      </w:r>
      <w:bookmarkStart w:id="63" w:name="_Hlk49085614"/>
      <w:r>
        <w:rPr>
          <w:rFonts w:hint="eastAsia" w:asciiTheme="minorEastAsia" w:hAnsiTheme="minorEastAsia" w:eastAsiaTheme="minorEastAsia" w:cstheme="minorEastAsia"/>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3"/>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4" w:name="_Hlk49085629"/>
      <w:r>
        <w:rPr>
          <w:rFonts w:hint="eastAsia" w:asciiTheme="minorEastAsia" w:hAnsiTheme="minorEastAsia" w:eastAsiaTheme="minorEastAsia" w:cstheme="minorEastAsia"/>
          <w:b/>
          <w:bCs/>
          <w:color w:val="000000"/>
          <w:sz w:val="21"/>
          <w:szCs w:val="21"/>
        </w:rPr>
        <w:t>第十一条   送达地址</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11.1本协议双方联系地址、联系人、联系方式如下：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1）以专人递送的，收件人签收之日视为送达（收件人拒收的，于拒收日视为送达）。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2）以快递、邮寄方式寄出的，以邮寄信息中显示的收件人（或他人）签收之日视为送达。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11.3如任何一方上述送达和通知地址发生变更的，应在发生变更之日起【三】日内通知相对方，如未及时按照本协议约定完成变更通知送达的，由此造成的损失由变更方自行承担。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64"/>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color w:val="000000"/>
          <w:sz w:val="21"/>
          <w:szCs w:val="21"/>
        </w:rPr>
        <w:t>第十二条   争议的解决</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5" w:name="_Hlk49085669"/>
      <w:r>
        <w:rPr>
          <w:rFonts w:hint="eastAsia" w:asciiTheme="minorEastAsia" w:hAnsiTheme="minorEastAsia" w:eastAsiaTheme="minorEastAsia" w:cstheme="minorEastAsia"/>
          <w:color w:val="000000"/>
          <w:sz w:val="21"/>
          <w:szCs w:val="21"/>
        </w:rPr>
        <w:t>12.1各方在本合同项下产生争议，应当首先友好协商解决。协商不成，任何一方均有权向甲方所在地人民法院起诉解决。。</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12.2本合同中任何条款的无效不应影响本合同其他条款的效力，在解决争议的过程中，各方应按本合同所有其他有效条款的约定继续履行本合同。</w:t>
      </w:r>
    </w:p>
    <w:bookmarkEnd w:id="65"/>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第十三条 其他事项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6" w:name="_Hlk49085691"/>
      <w:r>
        <w:rPr>
          <w:rFonts w:hint="eastAsia" w:asciiTheme="minorEastAsia" w:hAnsiTheme="minorEastAsia" w:eastAsiaTheme="minorEastAsia" w:cstheme="minorEastAsia"/>
          <w:color w:val="000000"/>
          <w:sz w:val="21"/>
          <w:szCs w:val="21"/>
        </w:rPr>
        <w:t>13.1本合同签订前10日内，乙方应向甲方提供下列证明文件或材料：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13.1.1营业执照复印件、法定代表人身份证明文件，如为加盟项目，还须提供特许加盟的授权委托证明；</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13.1.2签字人如为代理人，本合同签字人的授权委托书；</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13.1.3甲方要求提供的其它资料；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13.2双方一致同意不向传播媒介或公众或第三方透露本合同的内容；</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13.3本合同经甲、乙双方法定代表人或授权代表签字、盖章后生效。</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13.4本合同正本一式【】份，甲方执【】份,乙方执【】份，均具有同等法律效力。</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Theme="minorEastAsia" w:hAnsiTheme="minorEastAsia" w:eastAsiaTheme="minorEastAsia" w:cstheme="minorEastAsia"/>
          <w:color w:val="000000"/>
          <w:sz w:val="21"/>
          <w:szCs w:val="21"/>
        </w:rPr>
        <w:t>竞价</w:t>
      </w:r>
      <w:r>
        <w:rPr>
          <w:rFonts w:asciiTheme="minorEastAsia" w:hAnsiTheme="minorEastAsia" w:eastAsiaTheme="minorEastAsia" w:cstheme="minorEastAsia"/>
          <w:color w:val="000000"/>
          <w:sz w:val="21"/>
          <w:szCs w:val="21"/>
        </w:rPr>
        <w:t>文件）及答疑； 4.投标文件（响应文件）及其附件；5.其他合同文件。</w:t>
      </w:r>
    </w:p>
    <w:bookmarkEnd w:id="66"/>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67" w:name="_Hlk49085733"/>
      <w:r>
        <w:rPr>
          <w:rFonts w:hint="eastAsia" w:asciiTheme="minorEastAsia" w:hAnsiTheme="minorEastAsia" w:eastAsiaTheme="minorEastAsia" w:cstheme="minorEastAsia"/>
          <w:b/>
          <w:bCs/>
          <w:color w:val="000000"/>
          <w:sz w:val="21"/>
          <w:szCs w:val="21"/>
        </w:rPr>
        <w:t xml:space="preserve">甲方（盖章）：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乙方（盖章）：</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bookmarkEnd w:id="67"/>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pStyle w:val="4"/>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56"/>
    </w:p>
    <w:p>
      <w:pPr>
        <w:spacing w:line="900" w:lineRule="exact"/>
        <w:jc w:val="center"/>
        <w:rPr>
          <w:rFonts w:hint="default" w:ascii="Times New Roman" w:hAnsi="Times New Roman" w:cs="Times New Roman" w:eastAsiaTheme="minorEastAsia"/>
          <w:b/>
          <w:sz w:val="72"/>
          <w:lang w:val="en-US" w:eastAsia="zh-CN"/>
        </w:rPr>
      </w:pPr>
      <w:r>
        <w:rPr>
          <w:rFonts w:hint="eastAsia" w:ascii="Times New Roman" w:hAnsi="Times New Roman" w:cs="Times New Roman" w:eastAsiaTheme="minorEastAsia"/>
          <w:b/>
          <w:sz w:val="32"/>
          <w:lang w:val="en-US" w:eastAsia="zh-CN"/>
        </w:rPr>
        <w:t>安徽同稻餐饮管理有限公司软饮类</w:t>
      </w: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8"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8"/>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spacing w:line="360" w:lineRule="auto"/>
        <w:jc w:val="center"/>
        <w:outlineLvl w:val="1"/>
        <w:rPr>
          <w:rFonts w:ascii="Times New Roman" w:hAnsi="Times New Roman" w:cs="Times New Roman" w:eastAsiaTheme="minorEastAsia"/>
          <w:b/>
          <w:sz w:val="24"/>
        </w:rPr>
      </w:pPr>
      <w:bookmarkStart w:id="69" w:name="_Toc461053086"/>
      <w:bookmarkStart w:id="70" w:name="_Toc461056631"/>
      <w:bookmarkStart w:id="71" w:name="_Toc520983587"/>
      <w:bookmarkStart w:id="72" w:name="_Toc24910"/>
      <w:r>
        <w:rPr>
          <w:rFonts w:ascii="Times New Roman" w:hAnsi="Times New Roman" w:cs="Times New Roman" w:eastAsiaTheme="minorEastAsia"/>
          <w:b/>
          <w:sz w:val="24"/>
        </w:rPr>
        <w:t>一</w:t>
      </w:r>
      <w:bookmarkEnd w:id="69"/>
      <w:bookmarkEnd w:id="70"/>
      <w:r>
        <w:rPr>
          <w:rFonts w:ascii="Times New Roman" w:hAnsi="Times New Roman" w:cs="Times New Roman" w:eastAsiaTheme="minorEastAsia"/>
          <w:b/>
          <w:sz w:val="24"/>
        </w:rPr>
        <w:t>、报价表格式</w:t>
      </w:r>
      <w:bookmarkEnd w:id="71"/>
      <w:bookmarkEnd w:id="72"/>
    </w:p>
    <w:p>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pPr>
        <w:snapToGrid w:val="0"/>
        <w:spacing w:line="360" w:lineRule="auto"/>
        <w:jc w:val="left"/>
        <w:rPr>
          <w:rFonts w:hint="default" w:ascii="Times New Roman" w:hAnsi="Times New Roman" w:cs="Times New Roman" w:eastAsiaTheme="minorEastAsia"/>
          <w:b/>
          <w:kern w:val="2"/>
          <w:sz w:val="24"/>
          <w:szCs w:val="24"/>
          <w:u w:val="single"/>
          <w:lang w:val="en-US"/>
        </w:rPr>
      </w:pPr>
      <w:r>
        <w:rPr>
          <w:rFonts w:ascii="Times New Roman" w:hAnsi="Times New Roman" w:cs="Times New Roman" w:eastAsiaTheme="minorEastAsia"/>
          <w:b/>
          <w:kern w:val="2"/>
          <w:sz w:val="24"/>
          <w:szCs w:val="24"/>
        </w:rPr>
        <w:t>项目名称：</w:t>
      </w:r>
      <w:r>
        <w:rPr>
          <w:rFonts w:hint="eastAsia" w:ascii="Times New Roman" w:hAnsi="Times New Roman" w:cs="Times New Roman" w:eastAsiaTheme="minorEastAsia"/>
          <w:b/>
          <w:kern w:val="2"/>
          <w:sz w:val="24"/>
          <w:szCs w:val="24"/>
          <w:u w:val="single"/>
          <w:lang w:val="en-US" w:eastAsia="zh-CN"/>
        </w:rPr>
        <w:t>安徽同稻餐饮管理有限公司软饮类采购</w:t>
      </w:r>
    </w:p>
    <w:p>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hint="eastAsia" w:ascii="Times New Roman" w:hAnsi="Times New Roman" w:cs="Times New Roman" w:eastAsiaTheme="minorEastAsia"/>
          <w:b/>
          <w:kern w:val="2"/>
          <w:sz w:val="24"/>
          <w:szCs w:val="24"/>
          <w:u w:val="single"/>
          <w:lang w:val="en-US" w:eastAsia="zh-CN"/>
        </w:rPr>
        <w:t>2024TDCY00013号</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pPr>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pPr>
              <w:snapToGrid w:val="0"/>
              <w:rPr>
                <w:rFonts w:ascii="Times New Roman" w:hAnsi="Times New Roman" w:cs="Times New Roman" w:eastAsiaTheme="minorEastAsia"/>
                <w:kern w:val="2"/>
                <w:sz w:val="24"/>
                <w:szCs w:val="24"/>
              </w:rPr>
            </w:pPr>
          </w:p>
          <w:p>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pPr>
              <w:snapToGrid w:val="0"/>
              <w:rPr>
                <w:rFonts w:ascii="Times New Roman" w:hAnsi="Times New Roman" w:cs="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pPr>
              <w:snapToGrid w:val="0"/>
              <w:rPr>
                <w:rFonts w:ascii="Times New Roman" w:hAnsi="Times New Roman" w:cs="Times New Roman"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pPr>
              <w:rPr>
                <w:rFonts w:ascii="Times New Roman" w:hAnsi="Times New Roman" w:cs="Times New Roman" w:eastAsiaTheme="minorEastAsia"/>
                <w:b/>
                <w:kern w:val="2"/>
                <w:sz w:val="24"/>
                <w:szCs w:val="24"/>
              </w:rPr>
            </w:pPr>
          </w:p>
        </w:tc>
      </w:tr>
    </w:tbl>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4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29"/>
        <w:gridCol w:w="1316"/>
        <w:gridCol w:w="672"/>
        <w:gridCol w:w="672"/>
        <w:gridCol w:w="939"/>
        <w:gridCol w:w="93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vAlign w:val="center"/>
          </w:tcPr>
          <w:p>
            <w:pPr>
              <w:pStyle w:val="69"/>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851"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844"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型号规格</w:t>
            </w:r>
          </w:p>
        </w:tc>
        <w:tc>
          <w:tcPr>
            <w:tcW w:w="431"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431"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602"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602"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807"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Borders>
              <w:bottom w:val="single" w:color="auto" w:sz="4" w:space="0"/>
            </w:tcBorders>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851" w:type="pct"/>
          </w:tcPr>
          <w:p>
            <w:pPr>
              <w:rPr>
                <w:rFonts w:ascii="Times New Roman" w:hAnsi="Times New Roman" w:cs="Times New Roman" w:eastAsiaTheme="minorEastAsia"/>
                <w:sz w:val="24"/>
              </w:rPr>
            </w:pP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p>
        </w:tc>
        <w:tc>
          <w:tcPr>
            <w:tcW w:w="851" w:type="pct"/>
            <w:vAlign w:val="center"/>
          </w:tcPr>
          <w:p>
            <w:pPr>
              <w:pStyle w:val="77"/>
              <w:rPr>
                <w:rFonts w:ascii="Times New Roman" w:hAnsi="Times New Roman" w:cs="Times New Roman" w:eastAsiaTheme="minorEastAsia"/>
              </w:rPr>
            </w:pPr>
            <w:r>
              <w:rPr>
                <w:rFonts w:ascii="Times New Roman" w:hAnsi="Times New Roman" w:cs="Times New Roman" w:eastAsiaTheme="minorEastAsia"/>
              </w:rPr>
              <w:t>其他费用</w:t>
            </w: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p>
        </w:tc>
        <w:tc>
          <w:tcPr>
            <w:tcW w:w="851"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p>
        </w:tc>
        <w:tc>
          <w:tcPr>
            <w:tcW w:w="851" w:type="pct"/>
          </w:tcPr>
          <w:p>
            <w:pPr>
              <w:pStyle w:val="77"/>
              <w:rPr>
                <w:rFonts w:ascii="Times New Roman" w:hAnsi="Times New Roman" w:cs="Times New Roman" w:eastAsiaTheme="minorEastAsia"/>
              </w:rPr>
            </w:pPr>
            <w:r>
              <w:rPr>
                <w:rFonts w:ascii="Times New Roman" w:hAnsi="Times New Roman" w:cs="Times New Roman" w:eastAsiaTheme="minorEastAsia"/>
              </w:rPr>
              <w:t>…</w:t>
            </w: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8" w:type="pct"/>
          </w:tcPr>
          <w:p>
            <w:pPr>
              <w:jc w:val="center"/>
              <w:rPr>
                <w:rFonts w:ascii="Times New Roman" w:hAnsi="Times New Roman" w:cs="Times New Roman" w:eastAsiaTheme="minorEastAsia"/>
                <w:sz w:val="24"/>
              </w:rPr>
            </w:pPr>
          </w:p>
        </w:tc>
        <w:tc>
          <w:tcPr>
            <w:tcW w:w="851"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80" w:type="pct"/>
            <w:gridSpan w:val="2"/>
            <w:vAlign w:val="center"/>
          </w:tcPr>
          <w:p>
            <w:pPr>
              <w:pStyle w:val="77"/>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844"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431"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602" w:type="pct"/>
          </w:tcPr>
          <w:p>
            <w:pPr>
              <w:rPr>
                <w:rFonts w:ascii="Times New Roman" w:hAnsi="Times New Roman" w:cs="Times New Roman" w:eastAsiaTheme="minorEastAsia"/>
                <w:sz w:val="24"/>
              </w:rPr>
            </w:pPr>
          </w:p>
        </w:tc>
        <w:tc>
          <w:tcPr>
            <w:tcW w:w="807" w:type="pct"/>
          </w:tcPr>
          <w:p>
            <w:pPr>
              <w:rPr>
                <w:rFonts w:ascii="Times New Roman" w:hAnsi="Times New Roman" w:cs="Times New Roman" w:eastAsiaTheme="minorEastAsia"/>
                <w:sz w:val="24"/>
              </w:rPr>
            </w:pPr>
          </w:p>
        </w:tc>
      </w:tr>
    </w:tbl>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pPr>
        <w:pStyle w:val="29"/>
        <w:spacing w:line="360" w:lineRule="auto"/>
        <w:jc w:val="right"/>
        <w:rPr>
          <w:rFonts w:ascii="Times New Roman" w:hAnsi="Times New Roman" w:cs="Times New Roman"/>
          <w:sz w:val="24"/>
        </w:rPr>
      </w:pPr>
    </w:p>
    <w:p>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pPr>
        <w:rPr>
          <w:rFonts w:ascii="Times New Roman" w:hAnsi="Times New Roman" w:cs="Times New Roman" w:eastAsiaTheme="minorEastAsia"/>
          <w:b/>
          <w:sz w:val="24"/>
        </w:rPr>
      </w:pPr>
      <w:r>
        <w:rPr>
          <w:rFonts w:ascii="Times New Roman" w:hAnsi="Times New Roman" w:cs="Times New Roman" w:eastAsiaTheme="minorEastAsia"/>
          <w:sz w:val="24"/>
        </w:rPr>
        <w:br w:type="page"/>
      </w:r>
      <w:bookmarkStart w:id="73" w:name="_Toc520983588"/>
      <w:bookmarkStart w:id="74" w:name="_Toc461056632"/>
      <w:bookmarkStart w:id="75" w:name="_Toc461053087"/>
    </w:p>
    <w:bookmarkEnd w:id="73"/>
    <w:bookmarkEnd w:id="74"/>
    <w:bookmarkEnd w:id="75"/>
    <w:p>
      <w:pPr>
        <w:widowControl/>
        <w:jc w:val="left"/>
        <w:rPr>
          <w:rFonts w:ascii="Times New Roman" w:hAnsi="Times New Roman" w:cs="Times New Roman" w:eastAsiaTheme="minorEastAsia"/>
          <w:b/>
          <w:sz w:val="24"/>
        </w:rPr>
      </w:pPr>
      <w:bookmarkStart w:id="76" w:name="_Toc520983591"/>
    </w:p>
    <w:p>
      <w:pPr>
        <w:spacing w:line="360" w:lineRule="auto"/>
        <w:jc w:val="center"/>
        <w:outlineLvl w:val="1"/>
        <w:rPr>
          <w:rFonts w:ascii="Times New Roman" w:hAnsi="Times New Roman" w:cs="Times New Roman" w:eastAsiaTheme="minorEastAsia"/>
          <w:b/>
          <w:sz w:val="24"/>
        </w:rPr>
      </w:pPr>
      <w:bookmarkStart w:id="77"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76"/>
      <w:bookmarkEnd w:id="77"/>
    </w:p>
    <w:p>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val="en-US" w:eastAsia="zh-CN"/>
        </w:rPr>
        <w:t>安徽同稻餐饮管理有限公司</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pPr>
        <w:pStyle w:val="54"/>
        <w:ind w:firstLine="200"/>
        <w:rPr>
          <w:rFonts w:ascii="Times New Roman" w:hAnsi="Times New Roman" w:cs="Times New Roman"/>
        </w:rPr>
      </w:pPr>
    </w:p>
    <w:p>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pPr>
        <w:spacing w:line="360" w:lineRule="auto"/>
        <w:jc w:val="center"/>
        <w:outlineLvl w:val="1"/>
        <w:rPr>
          <w:rFonts w:ascii="Times New Roman" w:hAnsi="Times New Roman" w:cs="Times New Roman" w:eastAsiaTheme="minorEastAsia"/>
          <w:b/>
          <w:sz w:val="24"/>
        </w:rPr>
      </w:pPr>
      <w:bookmarkStart w:id="78" w:name="_Toc12260"/>
      <w:bookmarkStart w:id="79" w:name="_Toc516969106"/>
      <w:bookmarkStart w:id="80" w:name="_Toc121626298"/>
      <w:bookmarkStart w:id="81" w:name="_Toc520983594"/>
      <w:bookmarkStart w:id="82" w:name="_Toc204594911"/>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8"/>
      <w:bookmarkEnd w:id="79"/>
      <w:bookmarkEnd w:id="80"/>
      <w:bookmarkEnd w:id="81"/>
      <w:bookmarkEnd w:id="82"/>
    </w:p>
    <w:p>
      <w:pPr>
        <w:spacing w:line="360" w:lineRule="auto"/>
        <w:jc w:val="center"/>
        <w:rPr>
          <w:rFonts w:ascii="Times New Roman" w:hAnsi="Times New Roman" w:cs="Times New Roman"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27"/>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pPr>
        <w:spacing w:line="360" w:lineRule="auto"/>
        <w:rPr>
          <w:rFonts w:ascii="Times New Roman" w:hAnsi="Times New Roman" w:cs="Times New Roman"/>
          <w:sz w:val="24"/>
          <w:szCs w:val="28"/>
        </w:rPr>
      </w:pPr>
    </w:p>
    <w:p>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pPr>
        <w:spacing w:line="360" w:lineRule="auto"/>
        <w:rPr>
          <w:rFonts w:ascii="Times New Roman" w:hAnsi="Times New Roman" w:cs="Times New Roman"/>
          <w:sz w:val="24"/>
          <w:szCs w:val="28"/>
        </w:rPr>
      </w:pPr>
    </w:p>
    <w:p>
      <w:pPr>
        <w:spacing w:line="360" w:lineRule="auto"/>
        <w:rPr>
          <w:rFonts w:ascii="Times New Roman" w:hAnsi="Times New Roman" w:cs="Times New Roman"/>
          <w:sz w:val="24"/>
          <w:szCs w:val="28"/>
        </w:rPr>
      </w:pPr>
    </w:p>
    <w:p>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cs="Times New Roman" w:eastAsiaTheme="minorEastAsia"/>
          <w:b/>
          <w:sz w:val="24"/>
        </w:rPr>
      </w:pPr>
      <w:bookmarkStart w:id="83"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83"/>
    </w:p>
    <w:p>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pPr>
        <w:spacing w:before="62" w:beforeLines="20" w:after="62" w:afterLines="20" w:line="540" w:lineRule="exact"/>
        <w:ind w:firstLine="610"/>
        <w:rPr>
          <w:rFonts w:ascii="Times New Roman" w:hAnsi="Times New Roman" w:eastAsia="@仿宋_GB2312" w:cs="Times New Roman"/>
          <w:kern w:val="2"/>
          <w:sz w:val="24"/>
          <w:szCs w:val="24"/>
        </w:rPr>
      </w:pPr>
    </w:p>
    <w:p>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pPr>
        <w:spacing w:line="360" w:lineRule="auto"/>
        <w:jc w:val="center"/>
        <w:outlineLvl w:val="1"/>
        <w:rPr>
          <w:rFonts w:ascii="Times New Roman" w:hAnsi="Times New Roman" w:cs="Times New Roman" w:eastAsiaTheme="minorEastAsia"/>
          <w:b/>
          <w:sz w:val="24"/>
        </w:rPr>
      </w:pPr>
      <w:bookmarkStart w:id="84"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84"/>
    </w:p>
    <w:p>
      <w:pPr>
        <w:keepNext/>
        <w:keepLines/>
        <w:numPr>
          <w:ilvl w:val="0"/>
          <w:numId w:val="2"/>
        </w:numPr>
        <w:jc w:val="center"/>
        <w:rPr>
          <w:rFonts w:ascii="Times New Roman" w:hAnsi="Times New Roman" w:cs="Times New Roman"/>
          <w:sz w:val="24"/>
          <w:szCs w:val="24"/>
        </w:rPr>
      </w:pPr>
      <w:r>
        <w:rPr>
          <w:rFonts w:ascii="Times New Roman" w:hAnsi="Times New Roman" w:cs="Times New Roman"/>
          <w:sz w:val="24"/>
          <w:szCs w:val="24"/>
        </w:rPr>
        <w:t>业绩表</w:t>
      </w:r>
    </w:p>
    <w:p>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pPr>
              <w:spacing w:line="360" w:lineRule="auto"/>
              <w:rPr>
                <w:rFonts w:ascii="Times New Roman" w:hAnsi="Times New Roman" w:cs="Times New Roman" w:eastAsiaTheme="minorEastAsia"/>
                <w:bCs/>
                <w:kern w:val="2"/>
                <w:sz w:val="24"/>
                <w:szCs w:val="24"/>
              </w:rPr>
            </w:pPr>
          </w:p>
        </w:tc>
        <w:tc>
          <w:tcPr>
            <w:tcW w:w="874" w:type="pct"/>
            <w:vAlign w:val="center"/>
          </w:tcPr>
          <w:p>
            <w:pPr>
              <w:spacing w:line="360" w:lineRule="auto"/>
              <w:rPr>
                <w:rFonts w:ascii="Times New Roman" w:hAnsi="Times New Roman" w:cs="Times New Roman" w:eastAsiaTheme="minorEastAsia"/>
                <w:bCs/>
                <w:kern w:val="2"/>
                <w:sz w:val="24"/>
                <w:szCs w:val="24"/>
              </w:rPr>
            </w:pPr>
          </w:p>
        </w:tc>
        <w:tc>
          <w:tcPr>
            <w:tcW w:w="918" w:type="pct"/>
            <w:vAlign w:val="center"/>
          </w:tcPr>
          <w:p>
            <w:pPr>
              <w:spacing w:line="360" w:lineRule="auto"/>
              <w:rPr>
                <w:rFonts w:ascii="Times New Roman" w:hAnsi="Times New Roman" w:cs="Times New Roman" w:eastAsiaTheme="minorEastAsia"/>
                <w:bCs/>
                <w:kern w:val="2"/>
                <w:sz w:val="24"/>
                <w:szCs w:val="24"/>
              </w:rPr>
            </w:pPr>
          </w:p>
        </w:tc>
        <w:tc>
          <w:tcPr>
            <w:tcW w:w="1043" w:type="pct"/>
            <w:vAlign w:val="center"/>
          </w:tcPr>
          <w:p>
            <w:pPr>
              <w:spacing w:line="360" w:lineRule="auto"/>
              <w:rPr>
                <w:rFonts w:ascii="Times New Roman" w:hAnsi="Times New Roman" w:cs="Times New Roman" w:eastAsiaTheme="minorEastAsia"/>
                <w:bCs/>
                <w:kern w:val="2"/>
                <w:sz w:val="24"/>
                <w:szCs w:val="24"/>
              </w:rPr>
            </w:pPr>
          </w:p>
        </w:tc>
        <w:tc>
          <w:tcPr>
            <w:tcW w:w="637" w:type="pct"/>
            <w:vAlign w:val="center"/>
          </w:tcPr>
          <w:p>
            <w:pPr>
              <w:spacing w:line="360" w:lineRule="auto"/>
              <w:rPr>
                <w:rFonts w:ascii="Times New Roman" w:hAnsi="Times New Roman" w:cs="Times New Roman"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pPr>
              <w:spacing w:line="360" w:lineRule="auto"/>
              <w:rPr>
                <w:rFonts w:ascii="Times New Roman" w:hAnsi="Times New Roman" w:cs="Times New Roman" w:eastAsiaTheme="minorEastAsia"/>
                <w:bCs/>
                <w:kern w:val="2"/>
                <w:sz w:val="24"/>
                <w:szCs w:val="24"/>
              </w:rPr>
            </w:pPr>
          </w:p>
        </w:tc>
        <w:tc>
          <w:tcPr>
            <w:tcW w:w="874" w:type="pct"/>
            <w:vAlign w:val="center"/>
          </w:tcPr>
          <w:p>
            <w:pPr>
              <w:spacing w:line="360" w:lineRule="auto"/>
              <w:rPr>
                <w:rFonts w:ascii="Times New Roman" w:hAnsi="Times New Roman" w:cs="Times New Roman" w:eastAsiaTheme="minorEastAsia"/>
                <w:bCs/>
                <w:kern w:val="2"/>
                <w:sz w:val="24"/>
                <w:szCs w:val="24"/>
              </w:rPr>
            </w:pPr>
          </w:p>
        </w:tc>
        <w:tc>
          <w:tcPr>
            <w:tcW w:w="918" w:type="pct"/>
            <w:vAlign w:val="center"/>
          </w:tcPr>
          <w:p>
            <w:pPr>
              <w:spacing w:line="360" w:lineRule="auto"/>
              <w:rPr>
                <w:rFonts w:ascii="Times New Roman" w:hAnsi="Times New Roman" w:cs="Times New Roman" w:eastAsiaTheme="minorEastAsia"/>
                <w:bCs/>
                <w:kern w:val="2"/>
                <w:sz w:val="24"/>
                <w:szCs w:val="24"/>
              </w:rPr>
            </w:pPr>
          </w:p>
        </w:tc>
        <w:tc>
          <w:tcPr>
            <w:tcW w:w="1043" w:type="pct"/>
            <w:vAlign w:val="center"/>
          </w:tcPr>
          <w:p>
            <w:pPr>
              <w:spacing w:line="360" w:lineRule="auto"/>
              <w:rPr>
                <w:rFonts w:ascii="Times New Roman" w:hAnsi="Times New Roman" w:cs="Times New Roman" w:eastAsiaTheme="minorEastAsia"/>
                <w:bCs/>
                <w:kern w:val="2"/>
                <w:sz w:val="24"/>
                <w:szCs w:val="24"/>
              </w:rPr>
            </w:pPr>
          </w:p>
        </w:tc>
        <w:tc>
          <w:tcPr>
            <w:tcW w:w="637" w:type="pct"/>
            <w:vAlign w:val="center"/>
          </w:tcPr>
          <w:p>
            <w:pPr>
              <w:spacing w:line="360" w:lineRule="auto"/>
              <w:rPr>
                <w:rFonts w:ascii="Times New Roman" w:hAnsi="Times New Roman" w:cs="Times New Roman" w:eastAsiaTheme="minorEastAsia"/>
                <w:bCs/>
                <w:kern w:val="2"/>
                <w:sz w:val="24"/>
                <w:szCs w:val="24"/>
              </w:rPr>
            </w:pPr>
          </w:p>
        </w:tc>
      </w:tr>
    </w:tbl>
    <w:p>
      <w:pPr>
        <w:widowControl/>
        <w:jc w:val="left"/>
        <w:rPr>
          <w:rFonts w:ascii="Times New Roman" w:hAnsi="Times New Roman" w:cs="Times New Roman" w:eastAsiaTheme="minorEastAsia"/>
          <w:b/>
          <w:sz w:val="24"/>
        </w:rPr>
      </w:pPr>
    </w:p>
    <w:p>
      <w:pPr>
        <w:keepNext/>
        <w:keepLines/>
        <w:rPr>
          <w:rFonts w:ascii="Times New Roman" w:hAnsi="Times New Roman" w:cs="Times New Roman"/>
          <w:sz w:val="24"/>
          <w:szCs w:val="24"/>
        </w:rPr>
      </w:pPr>
    </w:p>
    <w:p>
      <w:pPr>
        <w:keepNext/>
        <w:keepLines/>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pPr>
        <w:spacing w:line="360" w:lineRule="auto"/>
        <w:jc w:val="center"/>
        <w:outlineLvl w:val="1"/>
        <w:rPr>
          <w:rFonts w:ascii="Times New Roman" w:hAnsi="Times New Roman" w:cs="Times New Roman" w:eastAsiaTheme="minorEastAsia"/>
          <w:b/>
          <w:sz w:val="24"/>
        </w:rPr>
      </w:pPr>
      <w:bookmarkStart w:id="85" w:name="_Toc3201"/>
      <w:bookmarkStart w:id="86"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85"/>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86"/>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pPr>
              <w:pStyle w:val="27"/>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供货地点</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供货周期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pStyle w:val="77"/>
              <w:jc w:val="center"/>
              <w:rPr>
                <w:rFonts w:ascii="Times New Roman" w:hAnsi="Times New Roman" w:cs="Times New Roman" w:eastAsiaTheme="minorEastAsia"/>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pPr>
              <w:jc w:val="center"/>
              <w:rPr>
                <w:rFonts w:ascii="Times New Roman" w:hAnsi="Times New Roman" w:cs="Times New Roman"/>
                <w:sz w:val="24"/>
              </w:rPr>
            </w:pPr>
          </w:p>
        </w:tc>
        <w:tc>
          <w:tcPr>
            <w:tcW w:w="2231" w:type="dxa"/>
            <w:vAlign w:val="center"/>
          </w:tcPr>
          <w:p>
            <w:pPr>
              <w:jc w:val="center"/>
              <w:rPr>
                <w:rFonts w:ascii="Times New Roman" w:hAnsi="Times New Roman" w:cs="Times New Roman" w:eastAsiaTheme="minorEastAsia"/>
                <w:sz w:val="24"/>
              </w:rPr>
            </w:pPr>
          </w:p>
        </w:tc>
        <w:tc>
          <w:tcPr>
            <w:tcW w:w="2575" w:type="dxa"/>
            <w:vAlign w:val="center"/>
          </w:tcPr>
          <w:p>
            <w:pPr>
              <w:jc w:val="center"/>
              <w:rPr>
                <w:rFonts w:ascii="Times New Roman" w:hAnsi="Times New Roman" w:cs="Times New Roman" w:eastAsiaTheme="minorEastAsia"/>
                <w:sz w:val="24"/>
              </w:rPr>
            </w:pPr>
          </w:p>
        </w:tc>
        <w:tc>
          <w:tcPr>
            <w:tcW w:w="810" w:type="dxa"/>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pPr>
              <w:pStyle w:val="27"/>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7"/>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pStyle w:val="77"/>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pPr>
              <w:jc w:val="center"/>
              <w:rPr>
                <w:rFonts w:ascii="Times New Roman" w:hAnsi="Times New Roman" w:cs="Times New Roman" w:eastAsiaTheme="minorEastAsia"/>
                <w:sz w:val="24"/>
              </w:rPr>
            </w:pPr>
          </w:p>
        </w:tc>
        <w:tc>
          <w:tcPr>
            <w:tcW w:w="2863" w:type="dxa"/>
            <w:vAlign w:val="center"/>
          </w:tcPr>
          <w:p>
            <w:pPr>
              <w:jc w:val="center"/>
              <w:rPr>
                <w:rFonts w:ascii="Times New Roman" w:hAnsi="Times New Roman" w:cs="Times New Roman" w:eastAsiaTheme="minorEastAsia"/>
                <w:sz w:val="24"/>
              </w:rPr>
            </w:pPr>
          </w:p>
        </w:tc>
        <w:tc>
          <w:tcPr>
            <w:tcW w:w="2482" w:type="dxa"/>
            <w:vAlign w:val="center"/>
          </w:tcPr>
          <w:p>
            <w:pPr>
              <w:jc w:val="center"/>
              <w:rPr>
                <w:rFonts w:ascii="Times New Roman" w:hAnsi="Times New Roman" w:cs="Times New Roman" w:eastAsiaTheme="minorEastAsia"/>
                <w:sz w:val="24"/>
              </w:rPr>
            </w:pPr>
          </w:p>
        </w:tc>
        <w:tc>
          <w:tcPr>
            <w:tcW w:w="856" w:type="dxa"/>
            <w:vAlign w:val="center"/>
          </w:tcPr>
          <w:p>
            <w:pPr>
              <w:jc w:val="center"/>
              <w:rPr>
                <w:rFonts w:ascii="Times New Roman" w:hAnsi="Times New Roman" w:cs="Times New Roman" w:eastAsiaTheme="minorEastAsia"/>
                <w:sz w:val="24"/>
              </w:rPr>
            </w:pP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备注：</w:t>
      </w:r>
    </w:p>
    <w:p>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spacing w:line="360" w:lineRule="auto"/>
        <w:jc w:val="center"/>
        <w:rPr>
          <w:rFonts w:ascii="Times New Roman" w:hAnsi="Times New Roman" w:cs="Times New Roman" w:eastAsiaTheme="minorEastAsia"/>
          <w:sz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ascii="Times New Roman" w:hAnsi="Times New Roman" w:cs="Times New Roman"/>
          <w:kern w:val="2"/>
          <w:sz w:val="24"/>
          <w:szCs w:val="24"/>
          <w:u w:val="single"/>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pPr>
        <w:rPr>
          <w:rFonts w:ascii="Times New Roman" w:hAnsi="Times New Roman" w:cs="Times New Roman"/>
          <w:kern w:val="2"/>
          <w:sz w:val="24"/>
          <w:szCs w:val="24"/>
          <w:u w:val="single"/>
        </w:rPr>
      </w:pPr>
      <w:r>
        <w:rPr>
          <w:rFonts w:ascii="Times New Roman" w:hAnsi="Times New Roman" w:cs="Times New Roman"/>
          <w:kern w:val="2"/>
          <w:sz w:val="24"/>
          <w:szCs w:val="24"/>
          <w:u w:val="single"/>
        </w:rPr>
        <w:br w:type="page"/>
      </w:r>
    </w:p>
    <w:p>
      <w:pPr>
        <w:spacing w:line="360" w:lineRule="auto"/>
        <w:jc w:val="center"/>
        <w:outlineLvl w:val="1"/>
        <w:rPr>
          <w:rFonts w:ascii="Times New Roman" w:hAnsi="Times New Roman" w:cs="Times New Roman" w:eastAsiaTheme="minorEastAsia"/>
          <w:b/>
          <w:sz w:val="24"/>
        </w:rPr>
      </w:pPr>
      <w:bookmarkStart w:id="87" w:name="_Toc3888"/>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bookmarkEnd w:id="87"/>
    </w:p>
    <w:p>
      <w:pPr>
        <w:spacing w:line="360" w:lineRule="auto"/>
        <w:jc w:val="center"/>
        <w:rPr>
          <w:rFonts w:ascii="Times New Roman" w:hAnsi="Times New Roman" w:cs="Times New Roman"/>
          <w:sz w:val="24"/>
          <w:szCs w:val="22"/>
        </w:rPr>
      </w:pPr>
      <w:bookmarkStart w:id="88" w:name="_Toc19685"/>
      <w:bookmarkStart w:id="89" w:name="_Toc2899"/>
      <w:r>
        <w:rPr>
          <w:rFonts w:ascii="Times New Roman" w:hAnsi="Times New Roman" w:cs="Times New Roman"/>
          <w:sz w:val="24"/>
          <w:szCs w:val="22"/>
        </w:rPr>
        <w:t>投标人按照第四章评审方法和标准放置的其他资料。</w:t>
      </w:r>
      <w:bookmarkEnd w:id="88"/>
      <w:bookmarkEnd w:id="89"/>
    </w:p>
    <w:p>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1915EF-8EA6-4778-93E1-7C90FDBBFC4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998C6DC-261C-4EC7-87D1-32B3320DD5A2}"/>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943FF647-8F4D-4938-B8F2-06B05753A6E9}"/>
  </w:font>
  <w:font w:name="Wingdings 2">
    <w:panose1 w:val="05020102010507070707"/>
    <w:charset w:val="02"/>
    <w:family w:val="roman"/>
    <w:pitch w:val="default"/>
    <w:sig w:usb0="00000000" w:usb1="00000000" w:usb2="00000000" w:usb3="00000000" w:csb0="80000000" w:csb1="00000000"/>
    <w:embedRegular r:id="rId4" w:fontKey="{9C0105F9-9DB5-461F-B675-56ECEE9E283B}"/>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jUwMTQ2OWQzMDhkYWI5MjY0ZTk2OGI2OGViMDg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E66C3"/>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816CCE"/>
    <w:rsid w:val="02A816E8"/>
    <w:rsid w:val="02C30CDE"/>
    <w:rsid w:val="02FE031F"/>
    <w:rsid w:val="030B62A1"/>
    <w:rsid w:val="031C2553"/>
    <w:rsid w:val="032205B8"/>
    <w:rsid w:val="032F04D8"/>
    <w:rsid w:val="035E4919"/>
    <w:rsid w:val="036D0167"/>
    <w:rsid w:val="0392221E"/>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46657C"/>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1275E"/>
    <w:rsid w:val="0FAC687F"/>
    <w:rsid w:val="0FB00BF3"/>
    <w:rsid w:val="0FB06A57"/>
    <w:rsid w:val="0FDE750E"/>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771223"/>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8129A1"/>
    <w:rsid w:val="16946C69"/>
    <w:rsid w:val="16987ACC"/>
    <w:rsid w:val="16AC3FC9"/>
    <w:rsid w:val="16AE5760"/>
    <w:rsid w:val="16B40FC8"/>
    <w:rsid w:val="16BB30FA"/>
    <w:rsid w:val="16BC1C2B"/>
    <w:rsid w:val="16F7528E"/>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E5CBA"/>
    <w:rsid w:val="19BF76EB"/>
    <w:rsid w:val="1A085187"/>
    <w:rsid w:val="1A11228E"/>
    <w:rsid w:val="1A136006"/>
    <w:rsid w:val="1A1A7CD9"/>
    <w:rsid w:val="1A4457AE"/>
    <w:rsid w:val="1A4C5D31"/>
    <w:rsid w:val="1A816B2F"/>
    <w:rsid w:val="1A8F17E2"/>
    <w:rsid w:val="1A9F3EA8"/>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2C1D90"/>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523C5"/>
    <w:rsid w:val="2A8304B0"/>
    <w:rsid w:val="2A8645D2"/>
    <w:rsid w:val="2AC51206"/>
    <w:rsid w:val="2B1966E7"/>
    <w:rsid w:val="2B226E52"/>
    <w:rsid w:val="2B3758CC"/>
    <w:rsid w:val="2B5F745C"/>
    <w:rsid w:val="2B93339A"/>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74193F"/>
    <w:rsid w:val="34750EEE"/>
    <w:rsid w:val="349B6ECC"/>
    <w:rsid w:val="34AC732B"/>
    <w:rsid w:val="34CC3529"/>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E0964E6"/>
    <w:rsid w:val="3E0C196A"/>
    <w:rsid w:val="3E1201FF"/>
    <w:rsid w:val="3E1D0952"/>
    <w:rsid w:val="3E30420A"/>
    <w:rsid w:val="3E3068D7"/>
    <w:rsid w:val="3E3C1720"/>
    <w:rsid w:val="3E43334B"/>
    <w:rsid w:val="3E5A1BA6"/>
    <w:rsid w:val="3E60015F"/>
    <w:rsid w:val="3EAD5E70"/>
    <w:rsid w:val="3ECF60F0"/>
    <w:rsid w:val="3F087854"/>
    <w:rsid w:val="3F2F6EBF"/>
    <w:rsid w:val="3F5D194E"/>
    <w:rsid w:val="3F7F14E7"/>
    <w:rsid w:val="3F8B1360"/>
    <w:rsid w:val="3F9F14A0"/>
    <w:rsid w:val="3FA37E9F"/>
    <w:rsid w:val="3FEF7356"/>
    <w:rsid w:val="3FF21F94"/>
    <w:rsid w:val="40005166"/>
    <w:rsid w:val="400B4C01"/>
    <w:rsid w:val="40316936"/>
    <w:rsid w:val="403B7D3B"/>
    <w:rsid w:val="40477F08"/>
    <w:rsid w:val="40495478"/>
    <w:rsid w:val="405165FE"/>
    <w:rsid w:val="406867FC"/>
    <w:rsid w:val="40C6735E"/>
    <w:rsid w:val="40D24B9C"/>
    <w:rsid w:val="40DE6ABE"/>
    <w:rsid w:val="410753AA"/>
    <w:rsid w:val="411E335F"/>
    <w:rsid w:val="41303889"/>
    <w:rsid w:val="415052BD"/>
    <w:rsid w:val="417E204F"/>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2DC702D"/>
    <w:rsid w:val="430345BA"/>
    <w:rsid w:val="43095B0E"/>
    <w:rsid w:val="43637473"/>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7C4DAF"/>
    <w:rsid w:val="468E6891"/>
    <w:rsid w:val="46AE2A8F"/>
    <w:rsid w:val="46DB1ADF"/>
    <w:rsid w:val="47105641"/>
    <w:rsid w:val="471A6376"/>
    <w:rsid w:val="47392CA0"/>
    <w:rsid w:val="47437DEF"/>
    <w:rsid w:val="47AC3472"/>
    <w:rsid w:val="47AE29D8"/>
    <w:rsid w:val="47B462FA"/>
    <w:rsid w:val="47B745D4"/>
    <w:rsid w:val="47BC567F"/>
    <w:rsid w:val="4814634D"/>
    <w:rsid w:val="48226AEB"/>
    <w:rsid w:val="483673CE"/>
    <w:rsid w:val="489A776F"/>
    <w:rsid w:val="489F4D85"/>
    <w:rsid w:val="48AB660E"/>
    <w:rsid w:val="48AE4FC8"/>
    <w:rsid w:val="48BE41E3"/>
    <w:rsid w:val="48C77E38"/>
    <w:rsid w:val="48CB5B7A"/>
    <w:rsid w:val="48D92B4D"/>
    <w:rsid w:val="48FD1AAC"/>
    <w:rsid w:val="490523D5"/>
    <w:rsid w:val="49135467"/>
    <w:rsid w:val="49221812"/>
    <w:rsid w:val="494D67E4"/>
    <w:rsid w:val="497D3957"/>
    <w:rsid w:val="498668DA"/>
    <w:rsid w:val="49A00E51"/>
    <w:rsid w:val="49AB4631"/>
    <w:rsid w:val="49BA799D"/>
    <w:rsid w:val="4A314103"/>
    <w:rsid w:val="4A451330"/>
    <w:rsid w:val="4A5B0EAB"/>
    <w:rsid w:val="4A5C478F"/>
    <w:rsid w:val="4A631DE2"/>
    <w:rsid w:val="4A667117"/>
    <w:rsid w:val="4A8C758B"/>
    <w:rsid w:val="4A8E0642"/>
    <w:rsid w:val="4A91694F"/>
    <w:rsid w:val="4AC95736"/>
    <w:rsid w:val="4AF320B9"/>
    <w:rsid w:val="4B2772B4"/>
    <w:rsid w:val="4B2B2900"/>
    <w:rsid w:val="4B410375"/>
    <w:rsid w:val="4B5B0856"/>
    <w:rsid w:val="4B5F07FC"/>
    <w:rsid w:val="4B63653E"/>
    <w:rsid w:val="4B6B53F2"/>
    <w:rsid w:val="4B863FDA"/>
    <w:rsid w:val="4B884F61"/>
    <w:rsid w:val="4B9506C1"/>
    <w:rsid w:val="4B9F32EE"/>
    <w:rsid w:val="4BB9449E"/>
    <w:rsid w:val="4BC52D55"/>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841F3"/>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FF25AD"/>
    <w:rsid w:val="50067498"/>
    <w:rsid w:val="505A492D"/>
    <w:rsid w:val="505B4BCF"/>
    <w:rsid w:val="50967210"/>
    <w:rsid w:val="50A4580C"/>
    <w:rsid w:val="50B75FB1"/>
    <w:rsid w:val="50CC248F"/>
    <w:rsid w:val="50E52F2A"/>
    <w:rsid w:val="50F97A8C"/>
    <w:rsid w:val="51013297"/>
    <w:rsid w:val="5105419D"/>
    <w:rsid w:val="51071719"/>
    <w:rsid w:val="51177359"/>
    <w:rsid w:val="51413951"/>
    <w:rsid w:val="51706AE7"/>
    <w:rsid w:val="517F39A6"/>
    <w:rsid w:val="518B234A"/>
    <w:rsid w:val="520812A5"/>
    <w:rsid w:val="5221002A"/>
    <w:rsid w:val="5253273C"/>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4747DA"/>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12CF"/>
    <w:rsid w:val="579F7237"/>
    <w:rsid w:val="57A82F46"/>
    <w:rsid w:val="57B23339"/>
    <w:rsid w:val="57BF2D4E"/>
    <w:rsid w:val="57CF2865"/>
    <w:rsid w:val="57E00F16"/>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5254BF"/>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3A32AF"/>
    <w:rsid w:val="5A492DA3"/>
    <w:rsid w:val="5A7A7400"/>
    <w:rsid w:val="5AC43F81"/>
    <w:rsid w:val="5AED72F3"/>
    <w:rsid w:val="5AF122EE"/>
    <w:rsid w:val="5B0347A3"/>
    <w:rsid w:val="5B4A6DD2"/>
    <w:rsid w:val="5B653C0C"/>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D6597D"/>
    <w:rsid w:val="5EDD61AF"/>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86704"/>
    <w:rsid w:val="624731C8"/>
    <w:rsid w:val="6260512D"/>
    <w:rsid w:val="62740392"/>
    <w:rsid w:val="627604AD"/>
    <w:rsid w:val="62815399"/>
    <w:rsid w:val="62AA45FB"/>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AEE4D5D"/>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4558F6"/>
    <w:rsid w:val="6C5264E5"/>
    <w:rsid w:val="6C8D10DE"/>
    <w:rsid w:val="6CBA5193"/>
    <w:rsid w:val="6CDB4851"/>
    <w:rsid w:val="6CEF1588"/>
    <w:rsid w:val="6CFC7A9E"/>
    <w:rsid w:val="6D201310"/>
    <w:rsid w:val="6D286848"/>
    <w:rsid w:val="6D2D20B0"/>
    <w:rsid w:val="6D3E42BD"/>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40519"/>
    <w:rsid w:val="706859A2"/>
    <w:rsid w:val="706F1447"/>
    <w:rsid w:val="707906C7"/>
    <w:rsid w:val="708055A9"/>
    <w:rsid w:val="7088613C"/>
    <w:rsid w:val="708D33F6"/>
    <w:rsid w:val="70A9583B"/>
    <w:rsid w:val="70FA6DA8"/>
    <w:rsid w:val="713D5B7A"/>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97145"/>
    <w:rsid w:val="75812F0D"/>
    <w:rsid w:val="75842A89"/>
    <w:rsid w:val="758E2517"/>
    <w:rsid w:val="75B16FA1"/>
    <w:rsid w:val="75CB06B8"/>
    <w:rsid w:val="75CB690A"/>
    <w:rsid w:val="75E1732A"/>
    <w:rsid w:val="75FE283B"/>
    <w:rsid w:val="7603347B"/>
    <w:rsid w:val="760360A4"/>
    <w:rsid w:val="760D6DDC"/>
    <w:rsid w:val="76147566"/>
    <w:rsid w:val="7679608D"/>
    <w:rsid w:val="76AC0BFB"/>
    <w:rsid w:val="76AE6010"/>
    <w:rsid w:val="76B31AD3"/>
    <w:rsid w:val="76D22E4C"/>
    <w:rsid w:val="76D90BB3"/>
    <w:rsid w:val="76D96E05"/>
    <w:rsid w:val="76DA7887"/>
    <w:rsid w:val="771670BC"/>
    <w:rsid w:val="77291523"/>
    <w:rsid w:val="772937FE"/>
    <w:rsid w:val="77383B2B"/>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8E037A"/>
    <w:rsid w:val="79915091"/>
    <w:rsid w:val="799356A1"/>
    <w:rsid w:val="799B26EC"/>
    <w:rsid w:val="79A731EA"/>
    <w:rsid w:val="79D55FA9"/>
    <w:rsid w:val="79E461EC"/>
    <w:rsid w:val="7A2B7977"/>
    <w:rsid w:val="7A35180C"/>
    <w:rsid w:val="7A92282C"/>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CE07674"/>
    <w:rsid w:val="7D146114"/>
    <w:rsid w:val="7D16178D"/>
    <w:rsid w:val="7D1F5429"/>
    <w:rsid w:val="7D290D52"/>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1A159B"/>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5238-FD0B-48F8-B58E-3796A62F370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4234</Words>
  <Characters>24138</Characters>
  <Lines>201</Lines>
  <Paragraphs>56</Paragraphs>
  <TotalTime>6</TotalTime>
  <ScaleCrop>false</ScaleCrop>
  <LinksUpToDate>false</LinksUpToDate>
  <CharactersWithSpaces>28316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喜哥</cp:lastModifiedBy>
  <cp:lastPrinted>2023-05-30T07:28:00Z</cp:lastPrinted>
  <dcterms:modified xsi:type="dcterms:W3CDTF">2024-05-29T06:39:12Z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CC8040BB380D4833A22E975EE36769B3_13</vt:lpwstr>
  </property>
</Properties>
</file>